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F3C" w:rsidRDefault="00E313A8">
      <w:pPr>
        <w:pStyle w:val="1"/>
        <w:keepNext w:val="0"/>
        <w:keepLines w:val="0"/>
        <w:spacing w:before="0" w:after="0" w:line="600" w:lineRule="exact"/>
        <w:ind w:left="1417" w:right="1502"/>
        <w:jc w:val="center"/>
        <w:rPr>
          <w:rFonts w:ascii="Times New Roman" w:eastAsia="方正小标宋简体" w:hAnsi="Times New Roman" w:cs="Times New Roman"/>
          <w:b w:val="0"/>
        </w:rPr>
      </w:pPr>
      <w:r>
        <w:rPr>
          <w:rFonts w:ascii="Times New Roman" w:eastAsia="方正小标宋简体" w:hAnsi="Times New Roman" w:cs="Times New Roman"/>
          <w:b w:val="0"/>
          <w:kern w:val="0"/>
          <w:szCs w:val="44"/>
        </w:rPr>
        <w:t>2023</w:t>
      </w:r>
      <w:r>
        <w:rPr>
          <w:rFonts w:ascii="Times New Roman" w:eastAsia="方正小标宋简体" w:hAnsi="Times New Roman" w:cs="Times New Roman"/>
          <w:b w:val="0"/>
        </w:rPr>
        <w:t>年</w:t>
      </w:r>
      <w:r>
        <w:rPr>
          <w:rFonts w:ascii="Times New Roman" w:eastAsia="方正小标宋简体" w:hAnsi="Times New Roman" w:cs="Times New Roman" w:hint="eastAsia"/>
          <w:b w:val="0"/>
        </w:rPr>
        <w:t>南华县</w:t>
      </w:r>
      <w:r>
        <w:rPr>
          <w:rFonts w:ascii="Times New Roman" w:eastAsia="方正小标宋简体" w:hAnsi="Times New Roman" w:cs="Times New Roman"/>
          <w:b w:val="0"/>
        </w:rPr>
        <w:t>社会保险基金预算收支科目变动说明</w:t>
      </w:r>
    </w:p>
    <w:p w:rsidR="001A3F3C" w:rsidRDefault="001A3F3C">
      <w:pPr>
        <w:spacing w:line="600" w:lineRule="exact"/>
      </w:pPr>
    </w:p>
    <w:p w:rsidR="001A3F3C" w:rsidRDefault="00E313A8">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w:t>
      </w:r>
      <w:r>
        <w:rPr>
          <w:rFonts w:ascii="Times New Roman" w:eastAsia="方正黑体简体" w:hAnsi="Times New Roman" w:cs="Times New Roman"/>
          <w:sz w:val="32"/>
          <w:szCs w:val="32"/>
        </w:rPr>
        <w:t>2023</w:t>
      </w:r>
      <w:r>
        <w:rPr>
          <w:rFonts w:ascii="Times New Roman" w:eastAsia="方正黑体简体" w:hAnsi="Times New Roman" w:cs="Times New Roman"/>
          <w:sz w:val="32"/>
          <w:szCs w:val="32"/>
        </w:rPr>
        <w:t>年全</w:t>
      </w:r>
      <w:r>
        <w:rPr>
          <w:rFonts w:ascii="Times New Roman" w:eastAsia="方正黑体简体" w:hAnsi="Times New Roman" w:cs="Times New Roman" w:hint="eastAsia"/>
          <w:sz w:val="32"/>
          <w:szCs w:val="32"/>
        </w:rPr>
        <w:t>县</w:t>
      </w:r>
      <w:r>
        <w:rPr>
          <w:rFonts w:ascii="Times New Roman" w:eastAsia="方正黑体简体" w:hAnsi="Times New Roman" w:cs="Times New Roman"/>
          <w:sz w:val="32"/>
          <w:szCs w:val="32"/>
        </w:rPr>
        <w:t>社保基金收入情况分析</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全</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收入为各项基金收入小计数之和，不含上级补助收入。</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城乡居民基本医疗保险基金、城镇职工基本医疗保险基金州级统收统支</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级不涉及</w:t>
      </w:r>
      <w:r>
        <w:rPr>
          <w:rFonts w:ascii="Times New Roman" w:eastAsia="方正仿宋简体" w:hAnsi="Times New Roman" w:cs="Times New Roman" w:hint="eastAsia"/>
          <w:sz w:val="32"/>
          <w:szCs w:val="32"/>
        </w:rPr>
        <w:t>收入、支出</w:t>
      </w:r>
      <w:r>
        <w:rPr>
          <w:rFonts w:ascii="Times New Roman" w:eastAsia="方正仿宋简体" w:hAnsi="Times New Roman" w:cs="Times New Roman"/>
          <w:sz w:val="32"/>
          <w:szCs w:val="32"/>
        </w:rPr>
        <w:t>。</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企业职工基本养老保险基金收入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年增加，主要原因有：一是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color w:val="000000" w:themeColor="text1"/>
          <w:kern w:val="0"/>
          <w:sz w:val="32"/>
          <w:szCs w:val="32"/>
        </w:rPr>
        <w:t>企业职工养老保险</w:t>
      </w:r>
      <w:r>
        <w:rPr>
          <w:rFonts w:ascii="Times New Roman" w:eastAsia="方正仿宋简体" w:hAnsi="Times New Roman" w:cs="Times New Roman"/>
          <w:sz w:val="32"/>
          <w:szCs w:val="32"/>
        </w:rPr>
        <w:t>扩面增效成效显著，全</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企业参保人数、实际缴费人数均比上年增加，基金征缴收入增加；二是按照《云南省阶段性缓缴社会保险会政策扩围延期实施办法》（云人社发〔</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22</w:t>
      </w:r>
      <w:r>
        <w:rPr>
          <w:rFonts w:ascii="Times New Roman" w:eastAsia="方正仿宋简体" w:hAnsi="Times New Roman" w:cs="Times New Roman"/>
          <w:sz w:val="32"/>
          <w:szCs w:val="32"/>
        </w:rPr>
        <w:t>号），部分企业执行了缓缴社会保险费政策，</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年政策结束后完成补缴，保费收入增长。</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城乡居民基本养老保险基金收入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至</w:t>
      </w:r>
      <w:r>
        <w:rPr>
          <w:rFonts w:ascii="Times New Roman" w:eastAsia="方正仿宋简体" w:hAnsi="Times New Roman" w:cs="Times New Roman"/>
          <w:sz w:val="32"/>
          <w:szCs w:val="32"/>
        </w:rPr>
        <w:t>59</w:t>
      </w:r>
      <w:r>
        <w:rPr>
          <w:rFonts w:ascii="Times New Roman" w:eastAsia="方正仿宋简体" w:hAnsi="Times New Roman" w:cs="Times New Roman"/>
          <w:sz w:val="32"/>
          <w:szCs w:val="32"/>
        </w:rPr>
        <w:t>周岁正常缴费的被征地农民缴费补贴记账规则调整，由原记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个人缴费收入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调整到记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60</w:t>
      </w:r>
      <w:r>
        <w:rPr>
          <w:rFonts w:ascii="Times New Roman" w:eastAsia="方正仿宋简体" w:hAnsi="Times New Roman" w:cs="Times New Roman"/>
          <w:sz w:val="32"/>
          <w:szCs w:val="32"/>
        </w:rPr>
        <w:t>周岁以上被征地农民参加城乡居民养老保险享受参保补贴记账规则调整，由原记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转移收入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调整到记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，再加上跨年追回社会保险待遇，导致保费收入和转移收入减少，其他收入大幅增加；同时部分经济条件好的参保人选择参加企业</w:t>
      </w:r>
      <w:r>
        <w:rPr>
          <w:rFonts w:ascii="Times New Roman" w:eastAsia="方正仿宋简体" w:hAnsi="Times New Roman" w:cs="Times New Roman"/>
          <w:sz w:val="32"/>
          <w:szCs w:val="32"/>
        </w:rPr>
        <w:lastRenderedPageBreak/>
        <w:t>职工养老保险，暂停缴纳城乡养老保险，也导致保费收入减少。</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机关事业单位基本养老保险基金收入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年增加，主要原因有：一是根据《云南省人力资源和社会保障厅</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云南省财政厅关于调整机关事业单位工作人员养老保险缴费工资基数的通知》（云人社发〔</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19</w:t>
      </w:r>
      <w:r>
        <w:rPr>
          <w:rFonts w:ascii="Times New Roman" w:eastAsia="方正仿宋简体" w:hAnsi="Times New Roman" w:cs="Times New Roman"/>
          <w:sz w:val="32"/>
          <w:szCs w:val="32"/>
        </w:rPr>
        <w:t>号），自</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年起按新规定核定养老保险缴费工资基数，缴费基数增长；二是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年清欠收入比上年多。</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工伤保险基</w:t>
      </w:r>
      <w:r>
        <w:rPr>
          <w:rFonts w:ascii="Times New Roman" w:eastAsia="方正仿宋简体" w:hAnsi="Times New Roman" w:cs="Times New Roman"/>
          <w:sz w:val="32"/>
          <w:szCs w:val="32"/>
        </w:rPr>
        <w:t>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年增加，主要原因是：</w:t>
      </w:r>
      <w:r>
        <w:rPr>
          <w:rFonts w:ascii="Times New Roman" w:eastAsia="方正仿宋简体" w:hAnsi="Times New Roman" w:cs="Times New Roman"/>
          <w:color w:val="000000" w:themeColor="text1"/>
          <w:kern w:val="0"/>
          <w:sz w:val="32"/>
          <w:szCs w:val="32"/>
        </w:rPr>
        <w:t>扩面增效成效显著，全</w:t>
      </w:r>
      <w:r>
        <w:rPr>
          <w:rFonts w:ascii="Times New Roman" w:eastAsia="方正仿宋简体" w:hAnsi="Times New Roman" w:cs="Times New Roman" w:hint="eastAsia"/>
          <w:color w:val="000000" w:themeColor="text1"/>
          <w:kern w:val="0"/>
          <w:sz w:val="32"/>
          <w:szCs w:val="32"/>
        </w:rPr>
        <w:t>县</w:t>
      </w:r>
      <w:r>
        <w:rPr>
          <w:rFonts w:ascii="Times New Roman" w:eastAsia="方正仿宋简体" w:hAnsi="Times New Roman" w:cs="Times New Roman"/>
          <w:color w:val="000000" w:themeColor="text1"/>
          <w:kern w:val="0"/>
          <w:sz w:val="32"/>
          <w:szCs w:val="32"/>
        </w:rPr>
        <w:t>工伤参保人数增加，实际缴费人数增加，保费收入增加。</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失业保险基金收入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年增加，主要原因有：一是</w:t>
      </w:r>
      <w:r>
        <w:rPr>
          <w:rFonts w:ascii="Times New Roman" w:eastAsia="方正仿宋简体" w:hAnsi="Times New Roman" w:cs="Times New Roman"/>
          <w:color w:val="000000" w:themeColor="text1"/>
          <w:kern w:val="0"/>
          <w:sz w:val="32"/>
          <w:szCs w:val="32"/>
        </w:rPr>
        <w:t>2022</w:t>
      </w:r>
      <w:r>
        <w:rPr>
          <w:rFonts w:ascii="Times New Roman" w:eastAsia="方正仿宋简体" w:hAnsi="Times New Roman" w:cs="Times New Roman"/>
          <w:color w:val="000000" w:themeColor="text1"/>
          <w:kern w:val="0"/>
          <w:sz w:val="32"/>
          <w:szCs w:val="32"/>
        </w:rPr>
        <w:t>年</w:t>
      </w:r>
      <w:r>
        <w:rPr>
          <w:rFonts w:ascii="Times New Roman" w:eastAsia="方正仿宋简体" w:hAnsi="Times New Roman" w:cs="Times New Roman"/>
          <w:color w:val="000000" w:themeColor="text1"/>
          <w:kern w:val="0"/>
          <w:sz w:val="32"/>
          <w:szCs w:val="32"/>
        </w:rPr>
        <w:t>4</w:t>
      </w:r>
      <w:r>
        <w:rPr>
          <w:rFonts w:ascii="Times New Roman" w:eastAsia="方正仿宋简体" w:hAnsi="Times New Roman" w:cs="Times New Roman"/>
          <w:color w:val="000000" w:themeColor="text1"/>
          <w:kern w:val="0"/>
          <w:sz w:val="32"/>
          <w:szCs w:val="32"/>
        </w:rPr>
        <w:t>月至</w:t>
      </w:r>
      <w:r>
        <w:rPr>
          <w:rFonts w:ascii="Times New Roman" w:eastAsia="方正仿宋简体" w:hAnsi="Times New Roman" w:cs="Times New Roman"/>
          <w:color w:val="000000" w:themeColor="text1"/>
          <w:kern w:val="0"/>
          <w:sz w:val="32"/>
          <w:szCs w:val="32"/>
        </w:rPr>
        <w:t>2023</w:t>
      </w:r>
      <w:r>
        <w:rPr>
          <w:rFonts w:ascii="Times New Roman" w:eastAsia="方正仿宋简体" w:hAnsi="Times New Roman" w:cs="Times New Roman"/>
          <w:color w:val="000000" w:themeColor="text1"/>
          <w:kern w:val="0"/>
          <w:sz w:val="32"/>
          <w:szCs w:val="32"/>
        </w:rPr>
        <w:t>年</w:t>
      </w:r>
      <w:r>
        <w:rPr>
          <w:rFonts w:ascii="Times New Roman" w:eastAsia="方正仿宋简体" w:hAnsi="Times New Roman" w:cs="Times New Roman"/>
          <w:color w:val="000000" w:themeColor="text1"/>
          <w:kern w:val="0"/>
          <w:sz w:val="32"/>
          <w:szCs w:val="32"/>
        </w:rPr>
        <w:t>4</w:t>
      </w:r>
      <w:r>
        <w:rPr>
          <w:rFonts w:ascii="Times New Roman" w:eastAsia="方正仿宋简体" w:hAnsi="Times New Roman" w:cs="Times New Roman"/>
          <w:color w:val="000000" w:themeColor="text1"/>
          <w:kern w:val="0"/>
          <w:sz w:val="32"/>
          <w:szCs w:val="32"/>
        </w:rPr>
        <w:t>月实施了缓缴政策，部分企业在</w:t>
      </w:r>
      <w:r>
        <w:rPr>
          <w:rFonts w:ascii="Times New Roman" w:eastAsia="方正仿宋简体" w:hAnsi="Times New Roman" w:cs="Times New Roman"/>
          <w:color w:val="000000" w:themeColor="text1"/>
          <w:kern w:val="0"/>
          <w:sz w:val="32"/>
          <w:szCs w:val="32"/>
        </w:rPr>
        <w:t>2023</w:t>
      </w:r>
      <w:r>
        <w:rPr>
          <w:rFonts w:ascii="Times New Roman" w:eastAsia="方正仿宋简体" w:hAnsi="Times New Roman" w:cs="Times New Roman"/>
          <w:color w:val="000000" w:themeColor="text1"/>
          <w:kern w:val="0"/>
          <w:sz w:val="32"/>
          <w:szCs w:val="32"/>
        </w:rPr>
        <w:t>年</w:t>
      </w:r>
      <w:r>
        <w:rPr>
          <w:rFonts w:ascii="Times New Roman" w:eastAsia="方正仿宋简体" w:hAnsi="Times New Roman" w:cs="Times New Roman"/>
          <w:color w:val="000000" w:themeColor="text1"/>
          <w:kern w:val="0"/>
          <w:sz w:val="32"/>
          <w:szCs w:val="32"/>
        </w:rPr>
        <w:t>4</w:t>
      </w:r>
      <w:r>
        <w:rPr>
          <w:rFonts w:ascii="Times New Roman" w:eastAsia="方正仿宋简体" w:hAnsi="Times New Roman" w:cs="Times New Roman"/>
          <w:color w:val="000000" w:themeColor="text1"/>
          <w:kern w:val="0"/>
          <w:sz w:val="32"/>
          <w:szCs w:val="32"/>
        </w:rPr>
        <w:t>月政策结束后集中补缴；二是</w:t>
      </w:r>
      <w:r>
        <w:rPr>
          <w:rFonts w:ascii="Times New Roman" w:eastAsia="方正仿宋简体" w:hAnsi="Times New Roman" w:cs="Times New Roman"/>
          <w:color w:val="000000" w:themeColor="text1"/>
          <w:kern w:val="0"/>
          <w:sz w:val="32"/>
          <w:szCs w:val="32"/>
        </w:rPr>
        <w:t>2023</w:t>
      </w:r>
      <w:r>
        <w:rPr>
          <w:rFonts w:ascii="Times New Roman" w:eastAsia="方正仿宋简体" w:hAnsi="Times New Roman" w:cs="Times New Roman"/>
          <w:color w:val="000000" w:themeColor="text1"/>
          <w:kern w:val="0"/>
          <w:sz w:val="32"/>
          <w:szCs w:val="32"/>
        </w:rPr>
        <w:t>年我州开展了失业保险费清欠专项行动，清理收回欠费数额较大，使得失业保险费收入增长</w:t>
      </w:r>
      <w:r>
        <w:rPr>
          <w:rFonts w:ascii="Times New Roman" w:eastAsia="方正仿宋简体" w:hAnsi="Times New Roman" w:cs="Times New Roman"/>
          <w:sz w:val="32"/>
          <w:szCs w:val="32"/>
        </w:rPr>
        <w:t>。</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利息收入：增减变化主要受存款结构和存款到期时间影响。</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委托投资收益：增减变化主要受金融市场波动影响。</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10</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转移收入：增减</w:t>
      </w:r>
      <w:r>
        <w:rPr>
          <w:rFonts w:ascii="Times New Roman" w:eastAsia="方正仿宋简体" w:hAnsi="Times New Roman" w:cs="Times New Roman"/>
          <w:sz w:val="32"/>
          <w:szCs w:val="32"/>
        </w:rPr>
        <w:t>变化主要受转移人员变动影响，难以准确预估。</w:t>
      </w:r>
    </w:p>
    <w:p w:rsidR="001A3F3C" w:rsidRDefault="00E313A8">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w:t>
      </w:r>
      <w:r>
        <w:rPr>
          <w:rFonts w:ascii="Times New Roman" w:eastAsia="方正黑体简体" w:hAnsi="Times New Roman" w:cs="Times New Roman"/>
          <w:sz w:val="32"/>
          <w:szCs w:val="32"/>
        </w:rPr>
        <w:t>2023</w:t>
      </w:r>
      <w:r>
        <w:rPr>
          <w:rFonts w:ascii="Times New Roman" w:eastAsia="方正黑体简体" w:hAnsi="Times New Roman" w:cs="Times New Roman"/>
          <w:sz w:val="32"/>
          <w:szCs w:val="32"/>
        </w:rPr>
        <w:t>年全</w:t>
      </w:r>
      <w:r>
        <w:rPr>
          <w:rFonts w:ascii="Times New Roman" w:eastAsia="方正黑体简体" w:hAnsi="Times New Roman" w:cs="Times New Roman" w:hint="eastAsia"/>
          <w:sz w:val="32"/>
          <w:szCs w:val="32"/>
        </w:rPr>
        <w:t>县</w:t>
      </w:r>
      <w:r>
        <w:rPr>
          <w:rFonts w:ascii="Times New Roman" w:eastAsia="方正黑体简体" w:hAnsi="Times New Roman" w:cs="Times New Roman"/>
          <w:sz w:val="32"/>
          <w:szCs w:val="32"/>
        </w:rPr>
        <w:t>社保基金支出情况分析</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全</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支出为各项基金支出小计数之和，不含上解上级支出。</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2.</w:t>
      </w:r>
      <w:r>
        <w:rPr>
          <w:rFonts w:ascii="Times New Roman" w:eastAsia="方正仿宋简体" w:hAnsi="Times New Roman" w:cs="Times New Roman"/>
          <w:sz w:val="32"/>
          <w:szCs w:val="32"/>
        </w:rPr>
        <w:t>城乡居民基本医疗保险基金、城镇职工基本医疗保险基金州级统收统支</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级不涉及</w:t>
      </w:r>
      <w:r>
        <w:rPr>
          <w:rFonts w:ascii="Times New Roman" w:eastAsia="方正仿宋简体" w:hAnsi="Times New Roman" w:cs="Times New Roman" w:hint="eastAsia"/>
          <w:sz w:val="32"/>
          <w:szCs w:val="32"/>
        </w:rPr>
        <w:t>收入、支出</w:t>
      </w:r>
      <w:r>
        <w:rPr>
          <w:rFonts w:ascii="Times New Roman" w:eastAsia="方正仿宋简体" w:hAnsi="Times New Roman" w:cs="Times New Roman"/>
          <w:sz w:val="32"/>
          <w:szCs w:val="32"/>
        </w:rPr>
        <w:t>。</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企业职工基本养老保险基金支出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年增长，主要原因有：一是领取待遇人数增加和人均养老金水平提高导致基本养老金支出增长；二是受老龄化影响，</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年比上年死亡退休人员增加导致丧葬抚恤金支出增加；三是企业职工养老保险可以跨制度转移到机关养老保险，</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年全</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跨制度转移人员较多，转移支出随之增加。</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城乡居民基本养老保险基金支出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年增长，主要原因有：一是从</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日起，城乡居民基本养老保险基础养老金提标，以及领取待遇人数增加使得基础养老金支出增长；二是被征地农民参保领取待遇人数增加导致个人账户养老金支出增长；三是支付标准提高和领取补助人数增加导致丧葬补助金支出增长。</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机关事业单位基本养老保险基金支出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年增长，主要原因是：一是领取待遇人数增加，同时</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年退休人员调待，</w:t>
      </w: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月以后退休人员按新办法计发待</w:t>
      </w:r>
      <w:r>
        <w:rPr>
          <w:rFonts w:ascii="Times New Roman" w:eastAsia="方正仿宋简体" w:hAnsi="Times New Roman" w:cs="Times New Roman"/>
          <w:sz w:val="32"/>
          <w:szCs w:val="32"/>
        </w:rPr>
        <w:t>遇，人均养老金较高；二是发放清算历年基本养老金，</w:t>
      </w:r>
      <w:r>
        <w:rPr>
          <w:rFonts w:ascii="Times New Roman" w:eastAsia="方正仿宋简体" w:hAnsi="Times New Roman" w:cs="Times New Roman"/>
          <w:sz w:val="32"/>
          <w:szCs w:val="32"/>
        </w:rPr>
        <w:t>清算后的补发待遇增加，使得基本养老金支出增长。</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工伤保险基金支出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年下降，主要原因是：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年享受工伤待遇人数较上年减少，待遇支出减少。</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失业保险基金支出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年下降，主要原因有：一是政策调整后</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年失业保险基金稳岗返还比例降低导致社会保险待遇支出减少；二是失业补助金申领政策于</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月停止执行，同时申请一次性扩岗补助的企业减少，导致其他支出同比下降。</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转移支出：增减变化主要受转移人员变动影</w:t>
      </w:r>
      <w:r>
        <w:rPr>
          <w:rFonts w:ascii="Times New Roman" w:eastAsia="方正仿宋简体" w:hAnsi="Times New Roman" w:cs="Times New Roman"/>
          <w:sz w:val="32"/>
          <w:szCs w:val="32"/>
        </w:rPr>
        <w:t>响，难以准确预估。</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其他支出：主要是按国家规定，其他非社会保险待遇性质的支出，难以准确预估。</w:t>
      </w:r>
    </w:p>
    <w:p w:rsidR="001A3F3C" w:rsidRDefault="00E313A8">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三、</w:t>
      </w:r>
      <w:r>
        <w:rPr>
          <w:rFonts w:ascii="Times New Roman" w:eastAsia="方正黑体简体" w:hAnsi="Times New Roman" w:cs="Times New Roman"/>
          <w:sz w:val="32"/>
          <w:szCs w:val="32"/>
        </w:rPr>
        <w:t>2023</w:t>
      </w:r>
      <w:r>
        <w:rPr>
          <w:rFonts w:ascii="Times New Roman" w:eastAsia="方正黑体简体" w:hAnsi="Times New Roman" w:cs="Times New Roman"/>
          <w:sz w:val="32"/>
          <w:szCs w:val="32"/>
        </w:rPr>
        <w:t>年</w:t>
      </w:r>
      <w:r>
        <w:rPr>
          <w:rFonts w:ascii="Times New Roman" w:eastAsia="方正黑体简体" w:hAnsi="Times New Roman" w:cs="Times New Roman" w:hint="eastAsia"/>
          <w:sz w:val="32"/>
          <w:szCs w:val="32"/>
        </w:rPr>
        <w:t>县</w:t>
      </w:r>
      <w:r>
        <w:rPr>
          <w:rFonts w:ascii="Times New Roman" w:eastAsia="方正黑体简体" w:hAnsi="Times New Roman" w:cs="Times New Roman"/>
          <w:sz w:val="32"/>
          <w:szCs w:val="32"/>
        </w:rPr>
        <w:t>本级社保基金收入情况分析</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县本级</w:t>
      </w:r>
      <w:r>
        <w:rPr>
          <w:rFonts w:ascii="Times New Roman" w:eastAsia="方正仿宋简体" w:hAnsi="Times New Roman" w:cs="Times New Roman"/>
          <w:sz w:val="32"/>
          <w:szCs w:val="32"/>
        </w:rPr>
        <w:t>收入为各项基金收入小计数之和，不含上级补助收入。</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城乡居民基本医疗保险基金、城镇职工基本医疗保险基金州级统收统支</w:t>
      </w:r>
      <w:r>
        <w:rPr>
          <w:rFonts w:ascii="Times New Roman" w:eastAsia="方正仿宋简体" w:hAnsi="Times New Roman" w:cs="Times New Roman" w:hint="eastAsia"/>
          <w:sz w:val="32"/>
          <w:szCs w:val="32"/>
        </w:rPr>
        <w:t>，县本</w:t>
      </w:r>
      <w:r>
        <w:rPr>
          <w:rFonts w:ascii="Times New Roman" w:eastAsia="方正仿宋简体" w:hAnsi="Times New Roman" w:cs="Times New Roman"/>
          <w:sz w:val="32"/>
          <w:szCs w:val="32"/>
        </w:rPr>
        <w:t>级不涉及</w:t>
      </w:r>
      <w:r>
        <w:rPr>
          <w:rFonts w:ascii="Times New Roman" w:eastAsia="方正仿宋简体" w:hAnsi="Times New Roman" w:cs="Times New Roman" w:hint="eastAsia"/>
          <w:sz w:val="32"/>
          <w:szCs w:val="32"/>
        </w:rPr>
        <w:t>收入、支出</w:t>
      </w:r>
      <w:r>
        <w:rPr>
          <w:rFonts w:ascii="Times New Roman" w:eastAsia="方正仿宋简体" w:hAnsi="Times New Roman" w:cs="Times New Roman"/>
          <w:sz w:val="32"/>
          <w:szCs w:val="32"/>
        </w:rPr>
        <w:t>。</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企业职工基本养老保险基金收入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年增加，主要原因有：一是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color w:val="000000" w:themeColor="text1"/>
          <w:kern w:val="0"/>
          <w:sz w:val="32"/>
          <w:szCs w:val="32"/>
        </w:rPr>
        <w:t>企业职工养老保险</w:t>
      </w:r>
      <w:r>
        <w:rPr>
          <w:rFonts w:ascii="Times New Roman" w:eastAsia="方正仿宋简体" w:hAnsi="Times New Roman" w:cs="Times New Roman"/>
          <w:sz w:val="32"/>
          <w:szCs w:val="32"/>
        </w:rPr>
        <w:t>扩面增效成效显著，全</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企业参保人数、实际缴费人数均比上年增加，基金征缴收入增加；二是按照《云南省阶段性缓缴社会保险会政策扩围延期实施办法》（云人社发〔</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22</w:t>
      </w:r>
      <w:r>
        <w:rPr>
          <w:rFonts w:ascii="Times New Roman" w:eastAsia="方正仿宋简体" w:hAnsi="Times New Roman" w:cs="Times New Roman"/>
          <w:sz w:val="32"/>
          <w:szCs w:val="32"/>
        </w:rPr>
        <w:t>号），部分企业执行了缓缴社会保险费政策，</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年政策结束后完成补缴，保费收入增长。</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城乡居民基本养老保险基金收入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至</w:t>
      </w:r>
      <w:r>
        <w:rPr>
          <w:rFonts w:ascii="Times New Roman" w:eastAsia="方正仿宋简体" w:hAnsi="Times New Roman" w:cs="Times New Roman"/>
          <w:sz w:val="32"/>
          <w:szCs w:val="32"/>
        </w:rPr>
        <w:t>59</w:t>
      </w:r>
      <w:r>
        <w:rPr>
          <w:rFonts w:ascii="Times New Roman" w:eastAsia="方正仿宋简体" w:hAnsi="Times New Roman" w:cs="Times New Roman"/>
          <w:sz w:val="32"/>
          <w:szCs w:val="32"/>
        </w:rPr>
        <w:t>周岁正常缴费的被征地农民缴费补贴记账规则调整，由原记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个人缴费收入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调整到记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60</w:t>
      </w:r>
      <w:r>
        <w:rPr>
          <w:rFonts w:ascii="Times New Roman" w:eastAsia="方正仿宋简体" w:hAnsi="Times New Roman" w:cs="Times New Roman"/>
          <w:sz w:val="32"/>
          <w:szCs w:val="32"/>
        </w:rPr>
        <w:t>周岁以上被征地农民参加城乡居民养老保险享受参保补贴记账规则调整，由原记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转移收入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调整到记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其他收入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，再加上跨年追回社会保险待遇，导致保费收入和转移收入减少，其他收入大幅增加；同时部分经济条件好的参保人选择参加企业职工养老保险，暂停缴纳城乡养老保险，也导致保费收入减少。</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机关事业单位基本养老保险基金收入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年增加，主要原因有：一是根据《云南省人力资源和社会保障厅</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云南省财政厅关于调整机关事业单位工作人员养老保险缴费工资基数的通知》（云人社发〔</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19</w:t>
      </w:r>
      <w:r>
        <w:rPr>
          <w:rFonts w:ascii="Times New Roman" w:eastAsia="方正仿宋简体" w:hAnsi="Times New Roman" w:cs="Times New Roman"/>
          <w:sz w:val="32"/>
          <w:szCs w:val="32"/>
        </w:rPr>
        <w:t>号），自</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年起按新规定核定养老保险缴费工资基数，缴费基数增长；二是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年清欠收入比上年多。</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工伤保险基</w:t>
      </w:r>
      <w:r>
        <w:rPr>
          <w:rFonts w:ascii="Times New Roman" w:eastAsia="方正仿宋简体" w:hAnsi="Times New Roman" w:cs="Times New Roman"/>
          <w:sz w:val="32"/>
          <w:szCs w:val="32"/>
        </w:rPr>
        <w:t>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年增加，主要原因是：</w:t>
      </w:r>
      <w:r>
        <w:rPr>
          <w:rFonts w:ascii="Times New Roman" w:eastAsia="方正仿宋简体" w:hAnsi="Times New Roman" w:cs="Times New Roman"/>
          <w:color w:val="000000" w:themeColor="text1"/>
          <w:kern w:val="0"/>
          <w:sz w:val="32"/>
          <w:szCs w:val="32"/>
        </w:rPr>
        <w:t>扩面增效成效显著，全</w:t>
      </w:r>
      <w:r>
        <w:rPr>
          <w:rFonts w:ascii="Times New Roman" w:eastAsia="方正仿宋简体" w:hAnsi="Times New Roman" w:cs="Times New Roman" w:hint="eastAsia"/>
          <w:color w:val="000000" w:themeColor="text1"/>
          <w:kern w:val="0"/>
          <w:sz w:val="32"/>
          <w:szCs w:val="32"/>
        </w:rPr>
        <w:t>县</w:t>
      </w:r>
      <w:r>
        <w:rPr>
          <w:rFonts w:ascii="Times New Roman" w:eastAsia="方正仿宋简体" w:hAnsi="Times New Roman" w:cs="Times New Roman"/>
          <w:color w:val="000000" w:themeColor="text1"/>
          <w:kern w:val="0"/>
          <w:sz w:val="32"/>
          <w:szCs w:val="32"/>
        </w:rPr>
        <w:t>工伤参保人数增加，实际缴费人数增加，保费收入增加。</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失业保险基金收入</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年增加，主要原因有：一是</w:t>
      </w:r>
      <w:r>
        <w:rPr>
          <w:rFonts w:ascii="Times New Roman" w:eastAsia="方正仿宋简体" w:hAnsi="Times New Roman" w:cs="Times New Roman"/>
          <w:color w:val="000000" w:themeColor="text1"/>
          <w:kern w:val="0"/>
          <w:sz w:val="32"/>
          <w:szCs w:val="32"/>
        </w:rPr>
        <w:t>2022</w:t>
      </w:r>
      <w:r>
        <w:rPr>
          <w:rFonts w:ascii="Times New Roman" w:eastAsia="方正仿宋简体" w:hAnsi="Times New Roman" w:cs="Times New Roman"/>
          <w:color w:val="000000" w:themeColor="text1"/>
          <w:kern w:val="0"/>
          <w:sz w:val="32"/>
          <w:szCs w:val="32"/>
        </w:rPr>
        <w:t>年</w:t>
      </w:r>
      <w:r>
        <w:rPr>
          <w:rFonts w:ascii="Times New Roman" w:eastAsia="方正仿宋简体" w:hAnsi="Times New Roman" w:cs="Times New Roman"/>
          <w:color w:val="000000" w:themeColor="text1"/>
          <w:kern w:val="0"/>
          <w:sz w:val="32"/>
          <w:szCs w:val="32"/>
        </w:rPr>
        <w:t>4</w:t>
      </w:r>
      <w:r>
        <w:rPr>
          <w:rFonts w:ascii="Times New Roman" w:eastAsia="方正仿宋简体" w:hAnsi="Times New Roman" w:cs="Times New Roman"/>
          <w:color w:val="000000" w:themeColor="text1"/>
          <w:kern w:val="0"/>
          <w:sz w:val="32"/>
          <w:szCs w:val="32"/>
        </w:rPr>
        <w:t>月至</w:t>
      </w:r>
      <w:r>
        <w:rPr>
          <w:rFonts w:ascii="Times New Roman" w:eastAsia="方正仿宋简体" w:hAnsi="Times New Roman" w:cs="Times New Roman"/>
          <w:color w:val="000000" w:themeColor="text1"/>
          <w:kern w:val="0"/>
          <w:sz w:val="32"/>
          <w:szCs w:val="32"/>
        </w:rPr>
        <w:t>2023</w:t>
      </w:r>
      <w:r>
        <w:rPr>
          <w:rFonts w:ascii="Times New Roman" w:eastAsia="方正仿宋简体" w:hAnsi="Times New Roman" w:cs="Times New Roman"/>
          <w:color w:val="000000" w:themeColor="text1"/>
          <w:kern w:val="0"/>
          <w:sz w:val="32"/>
          <w:szCs w:val="32"/>
        </w:rPr>
        <w:t>年</w:t>
      </w:r>
      <w:r>
        <w:rPr>
          <w:rFonts w:ascii="Times New Roman" w:eastAsia="方正仿宋简体" w:hAnsi="Times New Roman" w:cs="Times New Roman"/>
          <w:color w:val="000000" w:themeColor="text1"/>
          <w:kern w:val="0"/>
          <w:sz w:val="32"/>
          <w:szCs w:val="32"/>
        </w:rPr>
        <w:t>4</w:t>
      </w:r>
      <w:r>
        <w:rPr>
          <w:rFonts w:ascii="Times New Roman" w:eastAsia="方正仿宋简体" w:hAnsi="Times New Roman" w:cs="Times New Roman"/>
          <w:color w:val="000000" w:themeColor="text1"/>
          <w:kern w:val="0"/>
          <w:sz w:val="32"/>
          <w:szCs w:val="32"/>
        </w:rPr>
        <w:t>月实施了缓缴政策，部分企业在</w:t>
      </w:r>
      <w:r>
        <w:rPr>
          <w:rFonts w:ascii="Times New Roman" w:eastAsia="方正仿宋简体" w:hAnsi="Times New Roman" w:cs="Times New Roman"/>
          <w:color w:val="000000" w:themeColor="text1"/>
          <w:kern w:val="0"/>
          <w:sz w:val="32"/>
          <w:szCs w:val="32"/>
        </w:rPr>
        <w:t>2023</w:t>
      </w:r>
      <w:r>
        <w:rPr>
          <w:rFonts w:ascii="Times New Roman" w:eastAsia="方正仿宋简体" w:hAnsi="Times New Roman" w:cs="Times New Roman"/>
          <w:color w:val="000000" w:themeColor="text1"/>
          <w:kern w:val="0"/>
          <w:sz w:val="32"/>
          <w:szCs w:val="32"/>
        </w:rPr>
        <w:t>年</w:t>
      </w:r>
      <w:r>
        <w:rPr>
          <w:rFonts w:ascii="Times New Roman" w:eastAsia="方正仿宋简体" w:hAnsi="Times New Roman" w:cs="Times New Roman"/>
          <w:color w:val="000000" w:themeColor="text1"/>
          <w:kern w:val="0"/>
          <w:sz w:val="32"/>
          <w:szCs w:val="32"/>
        </w:rPr>
        <w:t>4</w:t>
      </w:r>
      <w:r>
        <w:rPr>
          <w:rFonts w:ascii="Times New Roman" w:eastAsia="方正仿宋简体" w:hAnsi="Times New Roman" w:cs="Times New Roman"/>
          <w:color w:val="000000" w:themeColor="text1"/>
          <w:kern w:val="0"/>
          <w:sz w:val="32"/>
          <w:szCs w:val="32"/>
        </w:rPr>
        <w:t>月政策结束后集中补缴；二是</w:t>
      </w:r>
      <w:r>
        <w:rPr>
          <w:rFonts w:ascii="Times New Roman" w:eastAsia="方正仿宋简体" w:hAnsi="Times New Roman" w:cs="Times New Roman"/>
          <w:color w:val="000000" w:themeColor="text1"/>
          <w:kern w:val="0"/>
          <w:sz w:val="32"/>
          <w:szCs w:val="32"/>
        </w:rPr>
        <w:t>2023</w:t>
      </w:r>
      <w:r>
        <w:rPr>
          <w:rFonts w:ascii="Times New Roman" w:eastAsia="方正仿宋简体" w:hAnsi="Times New Roman" w:cs="Times New Roman"/>
          <w:color w:val="000000" w:themeColor="text1"/>
          <w:kern w:val="0"/>
          <w:sz w:val="32"/>
          <w:szCs w:val="32"/>
        </w:rPr>
        <w:t>年我</w:t>
      </w:r>
      <w:r>
        <w:rPr>
          <w:rFonts w:ascii="Times New Roman" w:eastAsia="方正仿宋简体" w:hAnsi="Times New Roman" w:cs="Times New Roman" w:hint="eastAsia"/>
          <w:color w:val="000000" w:themeColor="text1"/>
          <w:kern w:val="0"/>
          <w:sz w:val="32"/>
          <w:szCs w:val="32"/>
        </w:rPr>
        <w:t>县</w:t>
      </w:r>
      <w:r>
        <w:rPr>
          <w:rFonts w:ascii="Times New Roman" w:eastAsia="方正仿宋简体" w:hAnsi="Times New Roman" w:cs="Times New Roman"/>
          <w:color w:val="000000" w:themeColor="text1"/>
          <w:kern w:val="0"/>
          <w:sz w:val="32"/>
          <w:szCs w:val="32"/>
        </w:rPr>
        <w:t>开展了失业保险费清欠专项行动，清理收回欠费数额较大，使得失业保</w:t>
      </w:r>
      <w:r>
        <w:rPr>
          <w:rFonts w:ascii="Times New Roman" w:eastAsia="方正仿宋简体" w:hAnsi="Times New Roman" w:cs="Times New Roman"/>
          <w:color w:val="000000" w:themeColor="text1"/>
          <w:kern w:val="0"/>
          <w:sz w:val="32"/>
          <w:szCs w:val="32"/>
        </w:rPr>
        <w:lastRenderedPageBreak/>
        <w:t>险费收入增长</w:t>
      </w:r>
      <w:r>
        <w:rPr>
          <w:rFonts w:ascii="Times New Roman" w:eastAsia="方正仿宋简体" w:hAnsi="Times New Roman" w:cs="Times New Roman"/>
          <w:sz w:val="32"/>
          <w:szCs w:val="32"/>
        </w:rPr>
        <w:t>。</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利息收入：增减变化主要受存款结构和存款到期时间影响。</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委托投资收益：增减变化主要受金融市场波动影响。</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10</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转移收入：增减</w:t>
      </w:r>
      <w:r>
        <w:rPr>
          <w:rFonts w:ascii="Times New Roman" w:eastAsia="方正仿宋简体" w:hAnsi="Times New Roman" w:cs="Times New Roman"/>
          <w:sz w:val="32"/>
          <w:szCs w:val="32"/>
        </w:rPr>
        <w:t>变化主要受转移人员变动影响，难以准确预估。</w:t>
      </w:r>
    </w:p>
    <w:p w:rsidR="001A3F3C" w:rsidRDefault="00E313A8">
      <w:pPr>
        <w:spacing w:line="60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四、</w:t>
      </w:r>
      <w:r>
        <w:rPr>
          <w:rFonts w:ascii="Times New Roman" w:eastAsia="方正黑体简体" w:hAnsi="Times New Roman" w:cs="Times New Roman"/>
          <w:sz w:val="32"/>
          <w:szCs w:val="32"/>
        </w:rPr>
        <w:t>2023</w:t>
      </w:r>
      <w:r>
        <w:rPr>
          <w:rFonts w:ascii="Times New Roman" w:eastAsia="方正黑体简体" w:hAnsi="Times New Roman" w:cs="Times New Roman"/>
          <w:sz w:val="32"/>
          <w:szCs w:val="32"/>
        </w:rPr>
        <w:t>年</w:t>
      </w:r>
      <w:r>
        <w:rPr>
          <w:rFonts w:ascii="Times New Roman" w:eastAsia="方正黑体简体" w:hAnsi="Times New Roman" w:cs="Times New Roman" w:hint="eastAsia"/>
          <w:sz w:val="32"/>
          <w:szCs w:val="32"/>
        </w:rPr>
        <w:t>县</w:t>
      </w:r>
      <w:r>
        <w:rPr>
          <w:rFonts w:ascii="Times New Roman" w:eastAsia="方正黑体简体" w:hAnsi="Times New Roman" w:cs="Times New Roman"/>
          <w:sz w:val="32"/>
          <w:szCs w:val="32"/>
        </w:rPr>
        <w:t>本级社保基金支出情况分析</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本级支出为各项基金支出小计数之和，上解上级支出。</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城乡居民基本医疗保险基金、城镇职工基本医疗保险基金州级统收统支</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本级不涉及</w:t>
      </w:r>
      <w:r>
        <w:rPr>
          <w:rFonts w:ascii="Times New Roman" w:eastAsia="方正仿宋简体" w:hAnsi="Times New Roman" w:cs="Times New Roman" w:hint="eastAsia"/>
          <w:sz w:val="32"/>
          <w:szCs w:val="32"/>
        </w:rPr>
        <w:t>收入、支出</w:t>
      </w:r>
      <w:r>
        <w:rPr>
          <w:rFonts w:ascii="Times New Roman" w:eastAsia="方正仿宋简体" w:hAnsi="Times New Roman" w:cs="Times New Roman"/>
          <w:sz w:val="32"/>
          <w:szCs w:val="32"/>
        </w:rPr>
        <w:t>。</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企业职工基本养老保险基金支出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年增长，主要原因有：一是领取待遇人数增加和人均养老金水平提高导致基本养老金支出增长；二是受老龄化影响，</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年比上年死亡退休人员增加导致丧葬抚恤金支出增加；三是企业职工养老保险可以跨制度转移到机关养老保险，</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年全</w:t>
      </w:r>
      <w:r>
        <w:rPr>
          <w:rFonts w:ascii="Times New Roman" w:eastAsia="方正仿宋简体" w:hAnsi="Times New Roman" w:cs="Times New Roman" w:hint="eastAsia"/>
          <w:sz w:val="32"/>
          <w:szCs w:val="32"/>
        </w:rPr>
        <w:t>县</w:t>
      </w:r>
      <w:r>
        <w:rPr>
          <w:rFonts w:ascii="Times New Roman" w:eastAsia="方正仿宋简体" w:hAnsi="Times New Roman" w:cs="Times New Roman"/>
          <w:sz w:val="32"/>
          <w:szCs w:val="32"/>
        </w:rPr>
        <w:t>跨制度转移人员较多，转移支出随之增加。</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城乡居民基本养老保险基金支出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年增长，主要原因有：一是从</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日起，城乡居民基本养老保险基础养老金提标，以及领取待遇人数增加使得基础养老金支出增长；二是被征</w:t>
      </w:r>
      <w:r>
        <w:rPr>
          <w:rFonts w:ascii="Times New Roman" w:eastAsia="方正仿宋简体" w:hAnsi="Times New Roman" w:cs="Times New Roman"/>
          <w:sz w:val="32"/>
          <w:szCs w:val="32"/>
        </w:rPr>
        <w:t>地农民参保领取待遇人数增加导致个人账户养老金支出增长；三是支付标准提高和领取补助人数增加导致丧葬补助金支出增长。</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5</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机关事业单位基本养老保险基金支出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年增长，主要原因是：一是领取待遇人数增加，同时</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年退休人员调待，</w:t>
      </w: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月以后退休人员按新办法计发待遇，人均养老金较高；二是发放清算历年基本养老金，</w:t>
      </w:r>
      <w:bookmarkStart w:id="0" w:name="_GoBack"/>
      <w:bookmarkEnd w:id="0"/>
      <w:r>
        <w:rPr>
          <w:rFonts w:ascii="Times New Roman" w:eastAsia="方正仿宋简体" w:hAnsi="Times New Roman" w:cs="Times New Roman"/>
          <w:sz w:val="32"/>
          <w:szCs w:val="32"/>
        </w:rPr>
        <w:t>清算后的补发待遇增加，使得基本养老金支出增长。</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6</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工伤保险基金支出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年下降，主要原因是：</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年享受工伤待遇人数较上年减少，待遇支出减少。</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失业保险基金</w:t>
      </w:r>
      <w:r>
        <w:rPr>
          <w:rFonts w:ascii="Times New Roman" w:eastAsia="方正仿宋简体" w:hAnsi="Times New Roman" w:cs="Times New Roman"/>
          <w:sz w:val="32"/>
          <w:szCs w:val="32"/>
        </w:rPr>
        <w:t>支出</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年决算数较</w:t>
      </w:r>
      <w:r>
        <w:rPr>
          <w:rFonts w:ascii="Times New Roman" w:eastAsia="方正仿宋简体" w:hAnsi="Times New Roman" w:cs="Times New Roman"/>
          <w:sz w:val="32"/>
          <w:szCs w:val="32"/>
        </w:rPr>
        <w:t>2022</w:t>
      </w:r>
      <w:r>
        <w:rPr>
          <w:rFonts w:ascii="Times New Roman" w:eastAsia="方正仿宋简体" w:hAnsi="Times New Roman" w:cs="Times New Roman"/>
          <w:sz w:val="32"/>
          <w:szCs w:val="32"/>
        </w:rPr>
        <w:t>年下降，主要原因有：一是政策调整后</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年失业保险基金稳岗返还比例降低导致社会保险待遇支出减少；二是失业补助金申领政策于</w:t>
      </w:r>
      <w:r>
        <w:rPr>
          <w:rFonts w:ascii="Times New Roman" w:eastAsia="方正仿宋简体" w:hAnsi="Times New Roman" w:cs="Times New Roman"/>
          <w:sz w:val="32"/>
          <w:szCs w:val="32"/>
        </w:rPr>
        <w:t>2023</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月停止执行，同时申请一次性扩岗补助的企业减少，导致其他支出同比下降。</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转移支出：增减变化主要受转移人员变动影响，难以准确预估。</w:t>
      </w:r>
    </w:p>
    <w:p w:rsidR="001A3F3C" w:rsidRDefault="00E313A8">
      <w:pPr>
        <w:spacing w:line="60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9</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其他支出：主要是按国家规定，其他非社会保险待遇性质的支出，难以准确预估。</w:t>
      </w:r>
    </w:p>
    <w:p w:rsidR="001A3F3C" w:rsidRDefault="001A3F3C">
      <w:pPr>
        <w:spacing w:line="600" w:lineRule="exact"/>
        <w:ind w:firstLineChars="200" w:firstLine="640"/>
        <w:rPr>
          <w:rFonts w:ascii="Times New Roman" w:eastAsia="方正仿宋简体" w:hAnsi="Times New Roman" w:cs="Times New Roman"/>
          <w:sz w:val="32"/>
          <w:szCs w:val="32"/>
        </w:rPr>
      </w:pPr>
    </w:p>
    <w:p w:rsidR="001A3F3C" w:rsidRDefault="00E313A8">
      <w:pPr>
        <w:wordWrap w:val="0"/>
        <w:spacing w:line="600" w:lineRule="exact"/>
        <w:ind w:firstLineChars="1300" w:firstLine="4160"/>
        <w:jc w:val="right"/>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2024</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12</w:t>
      </w:r>
      <w:r>
        <w:rPr>
          <w:rFonts w:ascii="Times New Roman" w:eastAsia="方正仿宋简体" w:hAnsi="Times New Roman" w:cs="Times New Roman" w:hint="eastAsia"/>
          <w:sz w:val="32"/>
          <w:szCs w:val="32"/>
        </w:rPr>
        <w:t>日</w:t>
      </w:r>
      <w:r>
        <w:rPr>
          <w:rFonts w:ascii="Times New Roman" w:eastAsia="方正仿宋简体" w:hAnsi="Times New Roman" w:cs="Times New Roman" w:hint="eastAsia"/>
          <w:sz w:val="32"/>
          <w:szCs w:val="32"/>
        </w:rPr>
        <w:t xml:space="preserve">    </w:t>
      </w:r>
    </w:p>
    <w:sectPr w:rsidR="001A3F3C">
      <w:footerReference w:type="default" r:id="rId7"/>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3A8" w:rsidRDefault="00E313A8">
      <w:r>
        <w:separator/>
      </w:r>
    </w:p>
  </w:endnote>
  <w:endnote w:type="continuationSeparator" w:id="0">
    <w:p w:rsidR="00E313A8" w:rsidRDefault="00E3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F3C" w:rsidRDefault="00E313A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3F3C" w:rsidRDefault="00E313A8">
                          <w:pPr>
                            <w:pStyle w:val="a3"/>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867A8B">
                            <w:rPr>
                              <w:rFonts w:asciiTheme="minorEastAsia" w:hAnsiTheme="minorEastAsia" w:cstheme="minorEastAsia"/>
                              <w:noProof/>
                              <w:sz w:val="24"/>
                            </w:rPr>
                            <w:t>6</w: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r>
                            <w:rPr>
                              <w:rFonts w:asciiTheme="minorEastAsia" w:hAnsiTheme="minorEastAsia" w:cstheme="minorEastAsia" w:hint="eastAsia"/>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A3F3C" w:rsidRDefault="00E313A8">
                    <w:pPr>
                      <w:pStyle w:val="a3"/>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 xml:space="preserve"> </w:t>
                    </w:r>
                    <w:r>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Pr>
                        <w:rFonts w:asciiTheme="minorEastAsia" w:hAnsiTheme="minorEastAsia" w:cstheme="minorEastAsia" w:hint="eastAsia"/>
                        <w:sz w:val="24"/>
                      </w:rPr>
                      <w:fldChar w:fldCharType="separate"/>
                    </w:r>
                    <w:r w:rsidR="00867A8B">
                      <w:rPr>
                        <w:rFonts w:asciiTheme="minorEastAsia" w:hAnsiTheme="minorEastAsia" w:cstheme="minorEastAsia"/>
                        <w:noProof/>
                        <w:sz w:val="24"/>
                      </w:rPr>
                      <w:t>6</w:t>
                    </w:r>
                    <w:r>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r>
                      <w:rPr>
                        <w:rFonts w:asciiTheme="minorEastAsia" w:hAnsiTheme="minorEastAsia" w:cstheme="minorEastAsia" w:hint="eastAsia"/>
                        <w:sz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3A8" w:rsidRDefault="00E313A8">
      <w:r>
        <w:separator/>
      </w:r>
    </w:p>
  </w:footnote>
  <w:footnote w:type="continuationSeparator" w:id="0">
    <w:p w:rsidR="00E313A8" w:rsidRDefault="00E3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JlZGVkNzRmNGU4Njc4YjY3ZDMwMGViYWE4MjMifQ=="/>
  </w:docVars>
  <w:rsids>
    <w:rsidRoot w:val="70133EE9"/>
    <w:rsid w:val="0016064C"/>
    <w:rsid w:val="001A3F3C"/>
    <w:rsid w:val="00492622"/>
    <w:rsid w:val="004C04F6"/>
    <w:rsid w:val="0052430A"/>
    <w:rsid w:val="0055798D"/>
    <w:rsid w:val="00564E79"/>
    <w:rsid w:val="005B594B"/>
    <w:rsid w:val="00867A8B"/>
    <w:rsid w:val="00A74AF5"/>
    <w:rsid w:val="00C6664C"/>
    <w:rsid w:val="00E313A8"/>
    <w:rsid w:val="01482928"/>
    <w:rsid w:val="02FC45A7"/>
    <w:rsid w:val="030B47EA"/>
    <w:rsid w:val="030F6088"/>
    <w:rsid w:val="05917228"/>
    <w:rsid w:val="05F84091"/>
    <w:rsid w:val="067B1C86"/>
    <w:rsid w:val="07057767"/>
    <w:rsid w:val="09E54C2D"/>
    <w:rsid w:val="0A5627EE"/>
    <w:rsid w:val="0B074579"/>
    <w:rsid w:val="0B6D57EE"/>
    <w:rsid w:val="0BCF2B35"/>
    <w:rsid w:val="0BFD229D"/>
    <w:rsid w:val="0CE07706"/>
    <w:rsid w:val="0D156991"/>
    <w:rsid w:val="0D731909"/>
    <w:rsid w:val="0E4D483E"/>
    <w:rsid w:val="0E7A15F1"/>
    <w:rsid w:val="0EC21E85"/>
    <w:rsid w:val="0F370144"/>
    <w:rsid w:val="107A6A6E"/>
    <w:rsid w:val="108F6B38"/>
    <w:rsid w:val="109F6BEA"/>
    <w:rsid w:val="117F087D"/>
    <w:rsid w:val="11A025A1"/>
    <w:rsid w:val="11CB28F9"/>
    <w:rsid w:val="12CA1FCB"/>
    <w:rsid w:val="12F5211D"/>
    <w:rsid w:val="12F72695"/>
    <w:rsid w:val="13E17AED"/>
    <w:rsid w:val="14691977"/>
    <w:rsid w:val="14D1028C"/>
    <w:rsid w:val="155707FE"/>
    <w:rsid w:val="15BD6FF9"/>
    <w:rsid w:val="15DA2525"/>
    <w:rsid w:val="15F57C14"/>
    <w:rsid w:val="161C0D90"/>
    <w:rsid w:val="161E779C"/>
    <w:rsid w:val="16445BF1"/>
    <w:rsid w:val="182F467F"/>
    <w:rsid w:val="18DE057F"/>
    <w:rsid w:val="19FD4A34"/>
    <w:rsid w:val="1B157B5C"/>
    <w:rsid w:val="1BCA6B98"/>
    <w:rsid w:val="1DCB426C"/>
    <w:rsid w:val="1E317987"/>
    <w:rsid w:val="1E3649B9"/>
    <w:rsid w:val="1F066139"/>
    <w:rsid w:val="1F152820"/>
    <w:rsid w:val="1FB47F32"/>
    <w:rsid w:val="200A65A2"/>
    <w:rsid w:val="204C77E7"/>
    <w:rsid w:val="20826DA7"/>
    <w:rsid w:val="20A02BF5"/>
    <w:rsid w:val="20CE6543"/>
    <w:rsid w:val="21E54633"/>
    <w:rsid w:val="22A55C69"/>
    <w:rsid w:val="24C85C3F"/>
    <w:rsid w:val="24C91E6F"/>
    <w:rsid w:val="25110782"/>
    <w:rsid w:val="25AE12D9"/>
    <w:rsid w:val="2695133D"/>
    <w:rsid w:val="281E2746"/>
    <w:rsid w:val="285478B9"/>
    <w:rsid w:val="287E4F92"/>
    <w:rsid w:val="29EF5E58"/>
    <w:rsid w:val="2AAA0E1D"/>
    <w:rsid w:val="2D6F134E"/>
    <w:rsid w:val="2EE24460"/>
    <w:rsid w:val="2F063F34"/>
    <w:rsid w:val="2F077B3A"/>
    <w:rsid w:val="2F1815D7"/>
    <w:rsid w:val="2F3C308F"/>
    <w:rsid w:val="2FD1009E"/>
    <w:rsid w:val="300C7328"/>
    <w:rsid w:val="32504AC8"/>
    <w:rsid w:val="32DF6F75"/>
    <w:rsid w:val="332617CD"/>
    <w:rsid w:val="3392259C"/>
    <w:rsid w:val="352B2DAC"/>
    <w:rsid w:val="35460C18"/>
    <w:rsid w:val="3627310D"/>
    <w:rsid w:val="369E2CA4"/>
    <w:rsid w:val="36EA5EE9"/>
    <w:rsid w:val="384F06F9"/>
    <w:rsid w:val="38610B59"/>
    <w:rsid w:val="38A50319"/>
    <w:rsid w:val="3AB64A60"/>
    <w:rsid w:val="3B7F30A4"/>
    <w:rsid w:val="3B9C37ED"/>
    <w:rsid w:val="3B9F54F4"/>
    <w:rsid w:val="3C485B8B"/>
    <w:rsid w:val="3C5462DE"/>
    <w:rsid w:val="3C9B0B16"/>
    <w:rsid w:val="3E775EE9"/>
    <w:rsid w:val="3E7A5DA4"/>
    <w:rsid w:val="3F942E96"/>
    <w:rsid w:val="41115F09"/>
    <w:rsid w:val="43AA712C"/>
    <w:rsid w:val="44260C28"/>
    <w:rsid w:val="44425307"/>
    <w:rsid w:val="44562F2D"/>
    <w:rsid w:val="45912351"/>
    <w:rsid w:val="45C91AC9"/>
    <w:rsid w:val="465B64BB"/>
    <w:rsid w:val="46674E60"/>
    <w:rsid w:val="46AC31BB"/>
    <w:rsid w:val="47E437A7"/>
    <w:rsid w:val="481105C8"/>
    <w:rsid w:val="482C67AD"/>
    <w:rsid w:val="49463453"/>
    <w:rsid w:val="4A527BD5"/>
    <w:rsid w:val="4C9D723F"/>
    <w:rsid w:val="4DC12938"/>
    <w:rsid w:val="4DEB6377"/>
    <w:rsid w:val="4F885C8D"/>
    <w:rsid w:val="507C1E50"/>
    <w:rsid w:val="508C2A46"/>
    <w:rsid w:val="512200B2"/>
    <w:rsid w:val="53075C2D"/>
    <w:rsid w:val="53623691"/>
    <w:rsid w:val="53FF2B7C"/>
    <w:rsid w:val="55CB540B"/>
    <w:rsid w:val="563C00B7"/>
    <w:rsid w:val="56515BBF"/>
    <w:rsid w:val="57686C8A"/>
    <w:rsid w:val="579637F7"/>
    <w:rsid w:val="58C3061C"/>
    <w:rsid w:val="59224920"/>
    <w:rsid w:val="59B85CA7"/>
    <w:rsid w:val="5C1B42CB"/>
    <w:rsid w:val="5D96240B"/>
    <w:rsid w:val="5DBE5856"/>
    <w:rsid w:val="5E800D5D"/>
    <w:rsid w:val="60012DDB"/>
    <w:rsid w:val="60BD3BA3"/>
    <w:rsid w:val="61BF3C1D"/>
    <w:rsid w:val="627C139F"/>
    <w:rsid w:val="64F953C5"/>
    <w:rsid w:val="65BD2897"/>
    <w:rsid w:val="668A076C"/>
    <w:rsid w:val="67332E10"/>
    <w:rsid w:val="68490BA5"/>
    <w:rsid w:val="687A2A66"/>
    <w:rsid w:val="69EB79D2"/>
    <w:rsid w:val="6ABE1508"/>
    <w:rsid w:val="6BD9621E"/>
    <w:rsid w:val="6CA67BE1"/>
    <w:rsid w:val="6D341690"/>
    <w:rsid w:val="6F9C52CB"/>
    <w:rsid w:val="6FF27251"/>
    <w:rsid w:val="70133EE9"/>
    <w:rsid w:val="70782830"/>
    <w:rsid w:val="707D0B97"/>
    <w:rsid w:val="709F1E5F"/>
    <w:rsid w:val="71091A03"/>
    <w:rsid w:val="710E794F"/>
    <w:rsid w:val="71EC253A"/>
    <w:rsid w:val="73012015"/>
    <w:rsid w:val="74382034"/>
    <w:rsid w:val="75344FF8"/>
    <w:rsid w:val="75497EAE"/>
    <w:rsid w:val="75F95225"/>
    <w:rsid w:val="76D67314"/>
    <w:rsid w:val="76E91124"/>
    <w:rsid w:val="7715608F"/>
    <w:rsid w:val="77C80D66"/>
    <w:rsid w:val="78144598"/>
    <w:rsid w:val="78200A89"/>
    <w:rsid w:val="7999644F"/>
    <w:rsid w:val="7AED10D1"/>
    <w:rsid w:val="7BE81FC4"/>
    <w:rsid w:val="7C141870"/>
    <w:rsid w:val="7CEA70C6"/>
    <w:rsid w:val="7CF758CF"/>
    <w:rsid w:val="7D4B339D"/>
    <w:rsid w:val="7DB644EF"/>
    <w:rsid w:val="7DDC7906"/>
    <w:rsid w:val="7DE01863"/>
    <w:rsid w:val="7F3267C1"/>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6E536"/>
  <w15:docId w15:val="{F3B72C3C-BF28-4B12-B719-3B32C30B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527</Words>
  <Characters>3005</Characters>
  <Application>Microsoft Office Word</Application>
  <DocSecurity>0</DocSecurity>
  <Lines>25</Lines>
  <Paragraphs>7</Paragraphs>
  <ScaleCrop>false</ScaleCrop>
  <Company>楚雄州直属党政机关单位</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马敏</dc:creator>
  <cp:lastModifiedBy>何桂超</cp:lastModifiedBy>
  <cp:revision>6</cp:revision>
  <cp:lastPrinted>2024-08-30T03:59:00Z</cp:lastPrinted>
  <dcterms:created xsi:type="dcterms:W3CDTF">2023-09-05T07:31:00Z</dcterms:created>
  <dcterms:modified xsi:type="dcterms:W3CDTF">2024-09-23T07:39:00Z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9FA33B75F45A4E17BA5F88A079BFBE07_13</vt:lpwstr>
  </property>
</Properties>
</file>