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5C" w:rsidRDefault="00BE245C" w:rsidP="00AA25FC">
      <w:pPr>
        <w:pStyle w:val="Style9"/>
        <w:spacing w:line="520" w:lineRule="exact"/>
        <w:jc w:val="both"/>
        <w:rPr>
          <w:rFonts w:ascii="Times New Roman" w:eastAsia="华文中宋" w:hAnsi="Times New Roman" w:hint="eastAsia"/>
          <w:color w:val="000000" w:themeColor="text1"/>
          <w:sz w:val="45"/>
          <w:szCs w:val="45"/>
        </w:rPr>
      </w:pPr>
    </w:p>
    <w:p w:rsidR="00BE245C" w:rsidRDefault="00F62752">
      <w:pPr>
        <w:pStyle w:val="3"/>
        <w:widowControl/>
        <w:spacing w:line="520" w:lineRule="exact"/>
        <w:jc w:val="center"/>
        <w:rPr>
          <w:rFonts w:ascii="黑体" w:eastAsia="黑体" w:hAnsi="黑体" w:hint="default"/>
          <w:color w:val="000000" w:themeColor="text1"/>
          <w:sz w:val="36"/>
          <w:szCs w:val="36"/>
        </w:rPr>
      </w:pPr>
      <w:r>
        <w:rPr>
          <w:rFonts w:ascii="黑体" w:eastAsia="黑体" w:hAnsi="黑体" w:hint="default"/>
          <w:color w:val="000000" w:themeColor="text1"/>
          <w:sz w:val="36"/>
          <w:szCs w:val="36"/>
        </w:rPr>
        <w:t>南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华县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202</w:t>
      </w:r>
      <w:r>
        <w:rPr>
          <w:rFonts w:ascii="黑体" w:eastAsia="黑体" w:hAnsi="黑体"/>
          <w:color w:val="000000" w:themeColor="text1"/>
          <w:sz w:val="36"/>
          <w:szCs w:val="36"/>
        </w:rPr>
        <w:t>2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年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“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三公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”</w:t>
      </w:r>
      <w:r>
        <w:rPr>
          <w:rFonts w:ascii="黑体" w:eastAsia="黑体" w:hAnsi="黑体" w:hint="default"/>
          <w:color w:val="000000" w:themeColor="text1"/>
          <w:sz w:val="36"/>
          <w:szCs w:val="36"/>
        </w:rPr>
        <w:t>经费决算及增减情况说明</w:t>
      </w:r>
    </w:p>
    <w:p w:rsidR="00BE245C" w:rsidRDefault="00BE245C">
      <w:pPr>
        <w:widowControl/>
        <w:spacing w:line="520" w:lineRule="exact"/>
        <w:ind w:firstLine="600"/>
        <w:rPr>
          <w:rFonts w:ascii="Times New Roman" w:eastAsia="仿宋" w:hAnsi="Times New Roman" w:cs="Times New Roman"/>
          <w:color w:val="000000" w:themeColor="text1"/>
          <w:kern w:val="0"/>
          <w:sz w:val="30"/>
          <w:szCs w:val="30"/>
          <w:lang w:bidi="ar"/>
        </w:rPr>
      </w:pPr>
    </w:p>
    <w:p w:rsidR="00BE245C" w:rsidRDefault="00F62752">
      <w:pPr>
        <w:widowControl/>
        <w:spacing w:line="500" w:lineRule="exact"/>
        <w:ind w:firstLine="60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根据党中央、国务院关于推进政府</w:t>
      </w:r>
      <w:bookmarkStart w:id="0" w:name="_GoBack"/>
      <w:bookmarkEnd w:id="0"/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预算信息公开的决策部署，南华县对县本级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三公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经费决算数进行统计汇总。现将县本级（包括县本级行政单位、事业单位以及其他使用一般公共预算财政拨款安排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三公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经费的预算单位和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乡财县管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的乡镇）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2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年度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三公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经费决算情况公开如下：</w:t>
      </w:r>
    </w:p>
    <w:p w:rsidR="00BE245C" w:rsidRDefault="00F62752">
      <w:pPr>
        <w:widowControl/>
        <w:spacing w:line="500" w:lineRule="exact"/>
        <w:ind w:left="624"/>
        <w:rPr>
          <w:rFonts w:ascii="Times New Roman" w:eastAsia="黑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一、总体情况</w:t>
      </w:r>
    </w:p>
    <w:p w:rsidR="00BE245C" w:rsidRDefault="00F62752">
      <w:pPr>
        <w:widowControl/>
        <w:spacing w:line="500" w:lineRule="exact"/>
        <w:ind w:left="4" w:firstLineChars="198" w:firstLine="657"/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2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年度，县级一般公共预算财政拨款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三公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经费支出决算汇总数为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895.23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万元，较上年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801.36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增加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93.88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增长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11.7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，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完成年初预算数</w:t>
      </w:r>
      <w:r w:rsidR="009359A2" w:rsidRP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 xml:space="preserve">897.37 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万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元的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99.8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，，其中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：</w:t>
      </w:r>
      <w:r w:rsidR="009359A2" w:rsidRP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公务用车购置及运行维护费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638.35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万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元，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为年初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预算数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638.9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万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元的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99.9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；</w:t>
      </w:r>
      <w:r w:rsidR="009359A2" w:rsidRP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公务接待费</w:t>
      </w:r>
      <w:r w:rsidR="009359A2" w:rsidRP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 xml:space="preserve">256.88 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万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元，为年初预算数</w:t>
      </w:r>
      <w:r w:rsidR="009359A2" w:rsidRP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 xml:space="preserve">258.47 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万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元的</w:t>
      </w:r>
      <w:r w:rsid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99.4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 w:rsidR="009359A2"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；</w:t>
      </w:r>
      <w:r w:rsidR="009359A2" w:rsidRPr="009359A2"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因公出国（境）费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“</w:t>
      </w:r>
      <w:r w:rsidR="009359A2"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0</w:t>
      </w:r>
      <w:r w:rsidR="009359A2">
        <w:rPr>
          <w:rFonts w:ascii="Times New Roman" w:eastAsia="方正仿宋简体" w:hAnsi="Times New Roman" w:cs="Times New Roman" w:hint="eastAsia"/>
          <w:bCs/>
          <w:color w:val="000000" w:themeColor="text1"/>
          <w:spacing w:val="6"/>
          <w:kern w:val="0"/>
          <w:sz w:val="32"/>
          <w:szCs w:val="32"/>
          <w:lang w:bidi="ar"/>
        </w:rPr>
        <w:t>万</w:t>
      </w:r>
      <w:r w:rsidR="009359A2"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元。</w:t>
      </w:r>
      <w:r w:rsidR="009359A2">
        <w:rPr>
          <w:rFonts w:ascii="Times New Roman" w:eastAsia="方正仿宋简体" w:hAnsi="Times New Roman" w:cs="Times New Roman" w:hint="eastAsia"/>
          <w:bCs/>
          <w:color w:val="000000" w:themeColor="text1"/>
          <w:spacing w:val="6"/>
          <w:kern w:val="0"/>
          <w:sz w:val="32"/>
          <w:szCs w:val="32"/>
          <w:lang w:bidi="ar"/>
        </w:rPr>
        <w:t>全年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三公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经费总体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pacing w:val="6"/>
          <w:kern w:val="0"/>
          <w:sz w:val="32"/>
          <w:szCs w:val="32"/>
          <w:lang w:bidi="ar"/>
        </w:rPr>
        <w:t>增长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的原因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pacing w:val="6"/>
          <w:kern w:val="0"/>
          <w:sz w:val="32"/>
          <w:szCs w:val="32"/>
          <w:lang w:bidi="ar"/>
        </w:rPr>
        <w:t>部分单位今年因工作需要购置公务用车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。</w:t>
      </w:r>
    </w:p>
    <w:p w:rsidR="00BE245C" w:rsidRDefault="00F62752">
      <w:pPr>
        <w:widowControl/>
        <w:spacing w:line="500" w:lineRule="exact"/>
        <w:ind w:firstLine="624"/>
        <w:rPr>
          <w:rFonts w:ascii="Times New Roman" w:eastAsia="黑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二、明细情况</w:t>
      </w:r>
    </w:p>
    <w:p w:rsidR="00BE245C" w:rsidRDefault="00F62752">
      <w:pPr>
        <w:widowControl/>
        <w:spacing w:line="500" w:lineRule="exact"/>
        <w:ind w:firstLineChars="205" w:firstLine="681"/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</w:pPr>
      <w:r>
        <w:rPr>
          <w:rFonts w:ascii="Times New Roman" w:eastAsia="方正楷体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（一）因公出国（境）费支出</w:t>
      </w:r>
      <w:r>
        <w:rPr>
          <w:rFonts w:ascii="Times New Roman" w:eastAsia="方正楷体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0</w:t>
      </w:r>
      <w:r>
        <w:rPr>
          <w:rFonts w:ascii="Times New Roman" w:eastAsia="方正楷体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，情况与上年一致。全年未安排因公出国（境）团组个数及人次，与上年情况一致。</w:t>
      </w:r>
    </w:p>
    <w:p w:rsidR="00BE245C" w:rsidRDefault="00F62752">
      <w:pPr>
        <w:widowControl/>
        <w:spacing w:line="500" w:lineRule="exact"/>
        <w:ind w:firstLine="624"/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</w:pPr>
      <w:r>
        <w:rPr>
          <w:rFonts w:ascii="Times New Roman" w:eastAsia="方正楷体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（二）公务接待费支出</w:t>
      </w:r>
      <w:r>
        <w:rPr>
          <w:rFonts w:ascii="Times New Roman" w:eastAsia="方正楷体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256.88</w:t>
      </w:r>
      <w:r>
        <w:rPr>
          <w:rFonts w:ascii="Times New Roman" w:eastAsia="方正楷体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，较上年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259.02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万元减少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2.14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万元，下降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0.8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。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减少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pacing w:val="6"/>
          <w:kern w:val="0"/>
          <w:sz w:val="32"/>
          <w:szCs w:val="32"/>
          <w:lang w:bidi="ar"/>
        </w:rPr>
        <w:t>的</w:t>
      </w:r>
      <w:r>
        <w:rPr>
          <w:rFonts w:ascii="Times New Roman" w:eastAsia="方正仿宋简体" w:hAnsi="Times New Roman" w:cs="Times New Roman"/>
          <w:bCs/>
          <w:color w:val="000000" w:themeColor="text1"/>
          <w:spacing w:val="6"/>
          <w:kern w:val="0"/>
          <w:sz w:val="32"/>
          <w:szCs w:val="32"/>
          <w:lang w:bidi="ar"/>
        </w:rPr>
        <w:t>主要</w:t>
      </w:r>
      <w:r>
        <w:rPr>
          <w:rFonts w:ascii="Times New Roman" w:eastAsia="方正仿宋简体" w:hAnsi="Times New Roman" w:cs="Times New Roman" w:hint="eastAsia"/>
          <w:bCs/>
          <w:color w:val="000000" w:themeColor="text1"/>
          <w:spacing w:val="6"/>
          <w:kern w:val="0"/>
          <w:sz w:val="32"/>
          <w:szCs w:val="32"/>
          <w:lang w:bidi="ar"/>
        </w:rPr>
        <w:t>原因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全县各乡各部门按照过紧日子的思想，大力压缩一般性支出。</w:t>
      </w:r>
    </w:p>
    <w:p w:rsidR="00BE245C" w:rsidRDefault="00F62752">
      <w:pPr>
        <w:widowControl/>
        <w:spacing w:line="500" w:lineRule="exact"/>
        <w:ind w:firstLineChars="200" w:firstLine="664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（三）公务用车购置及运行维护费为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638.35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万元，较上年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542.34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万元增加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96.02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万元，增长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17.7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，其中：公务用车购置费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207.55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万元，较上年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112.31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万元增加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95.24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万元，增长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84.8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；公务用车运行维护费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430.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81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万元，较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lastRenderedPageBreak/>
        <w:t>上年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430.03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增加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0.78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万元，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增长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0.18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%</w:t>
      </w:r>
      <w:r>
        <w:rPr>
          <w:rFonts w:ascii="Times New Roman" w:eastAsia="方正仿宋简体" w:hAnsi="Times New Roman" w:cs="Times New Roman"/>
          <w:color w:val="000000" w:themeColor="text1"/>
          <w:spacing w:val="6"/>
          <w:kern w:val="0"/>
          <w:sz w:val="32"/>
          <w:szCs w:val="32"/>
          <w:lang w:bidi="ar"/>
        </w:rPr>
        <w:t>。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公务用车购置本年度增加的主要原因是随着森林防火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、防汛搞旱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等重点工作的不断深入推进，公务用车需求不断加大</w:t>
      </w:r>
      <w:r>
        <w:rPr>
          <w:rFonts w:ascii="Times New Roman" w:eastAsia="方正仿宋简体" w:hAnsi="Times New Roman" w:cs="Times New Roman" w:hint="eastAsia"/>
          <w:color w:val="000000" w:themeColor="text1"/>
          <w:spacing w:val="6"/>
          <w:kern w:val="0"/>
          <w:sz w:val="32"/>
          <w:szCs w:val="32"/>
          <w:lang w:bidi="ar"/>
        </w:rPr>
        <w:t>。</w:t>
      </w:r>
    </w:p>
    <w:p w:rsidR="00BE245C" w:rsidRDefault="00BE245C">
      <w:pPr>
        <w:widowControl/>
        <w:spacing w:line="500" w:lineRule="exact"/>
        <w:ind w:firstLineChars="100" w:firstLine="320"/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BE245C" w:rsidRDefault="00F62752">
      <w:pPr>
        <w:widowControl/>
        <w:spacing w:line="500" w:lineRule="exact"/>
        <w:ind w:firstLineChars="100" w:firstLine="320"/>
        <w:jc w:val="center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202</w:t>
      </w:r>
      <w:r>
        <w:rPr>
          <w:rFonts w:ascii="Times New Roman" w:eastAsia="黑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2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年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“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三公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”</w:t>
      </w: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经费决算汇总表</w:t>
      </w:r>
    </w:p>
    <w:p w:rsidR="00BE245C" w:rsidRDefault="00F62752">
      <w:pPr>
        <w:widowControl/>
        <w:spacing w:line="500" w:lineRule="exact"/>
        <w:ind w:firstLineChars="2400" w:firstLine="6720"/>
        <w:rPr>
          <w:rFonts w:ascii="Times New Roman" w:eastAsia="方正仿宋简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28"/>
          <w:szCs w:val="28"/>
          <w:lang w:bidi="ar"/>
        </w:rPr>
        <w:t>单位：万元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28"/>
          <w:szCs w:val="28"/>
          <w:lang w:bidi="ar"/>
        </w:rPr>
        <w:t xml:space="preserve"> </w:t>
      </w:r>
    </w:p>
    <w:tbl>
      <w:tblPr>
        <w:tblW w:w="815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3"/>
        <w:gridCol w:w="1276"/>
        <w:gridCol w:w="1395"/>
        <w:gridCol w:w="1294"/>
        <w:gridCol w:w="1465"/>
      </w:tblGrid>
      <w:tr w:rsidR="00BE245C">
        <w:trPr>
          <w:trHeight w:val="567"/>
          <w:jc w:val="center"/>
        </w:trPr>
        <w:tc>
          <w:tcPr>
            <w:tcW w:w="2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项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目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三公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13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“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三公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”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经费</w:t>
            </w:r>
          </w:p>
        </w:tc>
        <w:tc>
          <w:tcPr>
            <w:tcW w:w="27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较上年增减情况</w:t>
            </w:r>
          </w:p>
        </w:tc>
      </w:tr>
      <w:tr w:rsidR="00BE245C">
        <w:trPr>
          <w:trHeight w:val="567"/>
          <w:jc w:val="center"/>
        </w:trPr>
        <w:tc>
          <w:tcPr>
            <w:tcW w:w="27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增、减额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增、减幅度（％）</w:t>
            </w:r>
          </w:p>
        </w:tc>
      </w:tr>
      <w:tr w:rsidR="00BE245C">
        <w:trPr>
          <w:trHeight w:val="567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t>895.23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801.36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93.88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11.7</w:t>
            </w:r>
          </w:p>
        </w:tc>
      </w:tr>
      <w:tr w:rsidR="00BE245C">
        <w:trPr>
          <w:trHeight w:val="548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、因公出国（境）费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BE245C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E245C">
        <w:trPr>
          <w:trHeight w:val="567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、公务接待费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t>256.88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  <w:t>259.02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-2.14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-0.83</w:t>
            </w:r>
          </w:p>
        </w:tc>
      </w:tr>
      <w:tr w:rsidR="00BE245C">
        <w:trPr>
          <w:trHeight w:val="567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、公务用车购置及运行维护费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lang w:bidi="ar"/>
              </w:rPr>
              <w:t>638.35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  <w:t>542.34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96.02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17.7</w:t>
            </w:r>
          </w:p>
        </w:tc>
      </w:tr>
      <w:tr w:rsidR="00BE245C">
        <w:trPr>
          <w:trHeight w:val="567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其中：（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）公务用车购置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207.55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  <w:t>112.31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95.24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84.8</w:t>
            </w:r>
          </w:p>
        </w:tc>
      </w:tr>
      <w:tr w:rsidR="00BE245C">
        <w:trPr>
          <w:trHeight w:val="567"/>
          <w:jc w:val="center"/>
        </w:trPr>
        <w:tc>
          <w:tcPr>
            <w:tcW w:w="2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lang w:bidi="ar"/>
              </w:rPr>
              <w:t>）公务用车运行维护费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430.81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widowControl/>
              <w:spacing w:line="500" w:lineRule="exact"/>
              <w:jc w:val="right"/>
              <w:textAlignment w:val="center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  <w:t>430.03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0.78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245C" w:rsidRDefault="00F62752">
            <w:pPr>
              <w:spacing w:line="500" w:lineRule="exact"/>
              <w:jc w:val="right"/>
              <w:rPr>
                <w:rFonts w:ascii="Times New Roman" w:eastAsia="方正仿宋简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简体" w:hAnsi="Times New Roman" w:cs="Times New Roman" w:hint="eastAsia"/>
                <w:color w:val="000000" w:themeColor="text1"/>
                <w:sz w:val="28"/>
                <w:szCs w:val="28"/>
              </w:rPr>
              <w:t>0.18</w:t>
            </w:r>
          </w:p>
        </w:tc>
      </w:tr>
    </w:tbl>
    <w:p w:rsidR="00BE245C" w:rsidRDefault="00BE245C">
      <w:pPr>
        <w:widowControl/>
        <w:spacing w:line="5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BE245C" w:rsidRDefault="00F62752">
      <w:pPr>
        <w:widowControl/>
        <w:spacing w:line="500" w:lineRule="exact"/>
        <w:ind w:firstLineChars="200" w:firstLine="640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lang w:bidi="ar"/>
        </w:rPr>
        <w:t>四、口径说明</w:t>
      </w:r>
    </w:p>
    <w:p w:rsidR="00BE245C" w:rsidRDefault="00F62752">
      <w:pPr>
        <w:widowControl/>
        <w:spacing w:line="500" w:lineRule="exact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按照党中央、国务院有关文件及部门预算管理有关规定，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“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三公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”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经费包括因公出国（境）费、公务用车购置及运行维护费和公务接待费。</w:t>
      </w:r>
    </w:p>
    <w:p w:rsidR="00BE245C" w:rsidRDefault="00F62752">
      <w:pPr>
        <w:widowControl/>
        <w:spacing w:line="500" w:lineRule="exact"/>
        <w:ind w:firstLine="60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简体" w:hAnsi="Times New Roman" w:cs="Times New Roman"/>
          <w:color w:val="000000" w:themeColor="text1"/>
          <w:kern w:val="0"/>
          <w:sz w:val="32"/>
          <w:szCs w:val="32"/>
          <w:lang w:bidi="ar"/>
        </w:rPr>
        <w:t>（一）因公出国（境）费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。指单位公务出国（境）的国际旅费、国外城市间交通费、住宿费、伙食费、培训费、公杂费等支出。</w:t>
      </w:r>
    </w:p>
    <w:p w:rsidR="00BE245C" w:rsidRDefault="00F62752">
      <w:pPr>
        <w:widowControl/>
        <w:spacing w:line="500" w:lineRule="exact"/>
        <w:ind w:firstLine="60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简体" w:hAnsi="Times New Roman" w:cs="Times New Roman"/>
          <w:color w:val="000000" w:themeColor="text1"/>
          <w:kern w:val="0"/>
          <w:sz w:val="32"/>
          <w:szCs w:val="32"/>
          <w:lang w:bidi="ar"/>
        </w:rPr>
        <w:lastRenderedPageBreak/>
        <w:t>（二）公务用车购置费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。指单位公务用车购置支出（含车辆购置税、牌照费等）；公务用车运行维护费，指单位按规定保留的公务用车燃料费、维修费、过路过桥费、保险费、安全奖励费用等支出。</w:t>
      </w:r>
    </w:p>
    <w:p w:rsidR="00BE245C" w:rsidRDefault="00F62752">
      <w:pPr>
        <w:widowControl/>
        <w:spacing w:line="500" w:lineRule="exact"/>
        <w:ind w:firstLine="60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简体" w:hAnsi="Times New Roman" w:cs="Times New Roman"/>
          <w:color w:val="000000" w:themeColor="text1"/>
          <w:kern w:val="0"/>
          <w:sz w:val="32"/>
          <w:szCs w:val="32"/>
          <w:lang w:bidi="ar"/>
        </w:rPr>
        <w:t>（三）公务接待费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。指单位按规定开支的各类公务接待（含外宾接待）费用。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 xml:space="preserve"> </w:t>
      </w:r>
    </w:p>
    <w:p w:rsidR="00BE245C" w:rsidRDefault="00BE245C">
      <w:pPr>
        <w:spacing w:line="500" w:lineRule="exact"/>
        <w:ind w:firstLineChars="1200" w:firstLine="38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BE245C" w:rsidRDefault="00BE245C">
      <w:pPr>
        <w:spacing w:line="500" w:lineRule="exact"/>
        <w:ind w:firstLineChars="1200" w:firstLine="38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BE245C" w:rsidRDefault="00BE245C">
      <w:pPr>
        <w:spacing w:line="500" w:lineRule="exact"/>
        <w:ind w:firstLineChars="1200" w:firstLine="38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BE245C" w:rsidRDefault="00BE245C">
      <w:pPr>
        <w:spacing w:line="500" w:lineRule="exact"/>
        <w:ind w:firstLineChars="1200" w:firstLine="384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</w:p>
    <w:p w:rsidR="00BE245C" w:rsidRDefault="00F62752">
      <w:pPr>
        <w:spacing w:line="500" w:lineRule="exact"/>
        <w:ind w:firstLineChars="1600" w:firstLine="512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南华县财政局</w:t>
      </w:r>
    </w:p>
    <w:p w:rsidR="00BE245C" w:rsidRDefault="00F62752">
      <w:pPr>
        <w:spacing w:line="500" w:lineRule="exact"/>
        <w:ind w:firstLineChars="1550" w:firstLine="4960"/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9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2"/>
        </w:rPr>
        <w:t>25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2"/>
        </w:rPr>
        <w:t>日</w:t>
      </w:r>
    </w:p>
    <w:sectPr w:rsidR="00BE245C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52" w:rsidRDefault="00F62752">
      <w:r>
        <w:separator/>
      </w:r>
    </w:p>
  </w:endnote>
  <w:endnote w:type="continuationSeparator" w:id="0">
    <w:p w:rsidR="00F62752" w:rsidRDefault="00F6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5C" w:rsidRDefault="00F6275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245C" w:rsidRDefault="00F6275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59A2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E245C" w:rsidRDefault="00F6275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59A2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52" w:rsidRDefault="00F62752">
      <w:r>
        <w:separator/>
      </w:r>
    </w:p>
  </w:footnote>
  <w:footnote w:type="continuationSeparator" w:id="0">
    <w:p w:rsidR="00F62752" w:rsidRDefault="00F6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04"/>
    <w:rsid w:val="000167C0"/>
    <w:rsid w:val="0002131C"/>
    <w:rsid w:val="00077F84"/>
    <w:rsid w:val="0008251E"/>
    <w:rsid w:val="000B1890"/>
    <w:rsid w:val="000C1A0C"/>
    <w:rsid w:val="000C2964"/>
    <w:rsid w:val="000E08B7"/>
    <w:rsid w:val="00105738"/>
    <w:rsid w:val="00177A41"/>
    <w:rsid w:val="001B0293"/>
    <w:rsid w:val="001D0BB0"/>
    <w:rsid w:val="00207978"/>
    <w:rsid w:val="002354C8"/>
    <w:rsid w:val="002D290E"/>
    <w:rsid w:val="002E2BC4"/>
    <w:rsid w:val="002F3239"/>
    <w:rsid w:val="002F4A9F"/>
    <w:rsid w:val="003065AA"/>
    <w:rsid w:val="00347E31"/>
    <w:rsid w:val="0035695A"/>
    <w:rsid w:val="00377907"/>
    <w:rsid w:val="00391FEE"/>
    <w:rsid w:val="003B7898"/>
    <w:rsid w:val="003F7CC8"/>
    <w:rsid w:val="004457CF"/>
    <w:rsid w:val="00481585"/>
    <w:rsid w:val="004819E0"/>
    <w:rsid w:val="004C35CD"/>
    <w:rsid w:val="004C6AFB"/>
    <w:rsid w:val="005A0C20"/>
    <w:rsid w:val="005B384D"/>
    <w:rsid w:val="005E4D04"/>
    <w:rsid w:val="006A0CC5"/>
    <w:rsid w:val="006C4D3E"/>
    <w:rsid w:val="006F4B30"/>
    <w:rsid w:val="00777FDB"/>
    <w:rsid w:val="007A4047"/>
    <w:rsid w:val="007B3F7C"/>
    <w:rsid w:val="007C7F85"/>
    <w:rsid w:val="007D5125"/>
    <w:rsid w:val="007D5C3A"/>
    <w:rsid w:val="007F1425"/>
    <w:rsid w:val="00843D5C"/>
    <w:rsid w:val="008B108C"/>
    <w:rsid w:val="008B1154"/>
    <w:rsid w:val="008D657F"/>
    <w:rsid w:val="008E62A0"/>
    <w:rsid w:val="0092553C"/>
    <w:rsid w:val="009359A2"/>
    <w:rsid w:val="00950AC0"/>
    <w:rsid w:val="00951097"/>
    <w:rsid w:val="00956C37"/>
    <w:rsid w:val="009B7822"/>
    <w:rsid w:val="009F0BE4"/>
    <w:rsid w:val="00A17079"/>
    <w:rsid w:val="00A35A95"/>
    <w:rsid w:val="00AA25FC"/>
    <w:rsid w:val="00AB0B38"/>
    <w:rsid w:val="00AB2746"/>
    <w:rsid w:val="00AB7564"/>
    <w:rsid w:val="00AC40C0"/>
    <w:rsid w:val="00B21DB7"/>
    <w:rsid w:val="00BC7539"/>
    <w:rsid w:val="00BE245C"/>
    <w:rsid w:val="00C82850"/>
    <w:rsid w:val="00CD4501"/>
    <w:rsid w:val="00CF4DA0"/>
    <w:rsid w:val="00D13203"/>
    <w:rsid w:val="00D51679"/>
    <w:rsid w:val="00DA0007"/>
    <w:rsid w:val="00DC1502"/>
    <w:rsid w:val="00EC2459"/>
    <w:rsid w:val="00EC5737"/>
    <w:rsid w:val="00F62752"/>
    <w:rsid w:val="01220C51"/>
    <w:rsid w:val="039E4E71"/>
    <w:rsid w:val="04695964"/>
    <w:rsid w:val="06727523"/>
    <w:rsid w:val="082C5A07"/>
    <w:rsid w:val="0AD53FFB"/>
    <w:rsid w:val="0B7A4DAB"/>
    <w:rsid w:val="0BE6565C"/>
    <w:rsid w:val="12102DD1"/>
    <w:rsid w:val="121727FE"/>
    <w:rsid w:val="15C20156"/>
    <w:rsid w:val="1D996EFD"/>
    <w:rsid w:val="1F645717"/>
    <w:rsid w:val="20580920"/>
    <w:rsid w:val="24515D20"/>
    <w:rsid w:val="2A07547A"/>
    <w:rsid w:val="2B837BB2"/>
    <w:rsid w:val="2E302C3A"/>
    <w:rsid w:val="2E747174"/>
    <w:rsid w:val="2EF843F9"/>
    <w:rsid w:val="2FC40A5F"/>
    <w:rsid w:val="31130ADE"/>
    <w:rsid w:val="31487E47"/>
    <w:rsid w:val="35D8208D"/>
    <w:rsid w:val="38444E55"/>
    <w:rsid w:val="39646A5B"/>
    <w:rsid w:val="3A721B20"/>
    <w:rsid w:val="3B9A28B5"/>
    <w:rsid w:val="3D4748E6"/>
    <w:rsid w:val="41271716"/>
    <w:rsid w:val="47274B34"/>
    <w:rsid w:val="498A168F"/>
    <w:rsid w:val="4BF64EAA"/>
    <w:rsid w:val="5A066CEC"/>
    <w:rsid w:val="5EC5289A"/>
    <w:rsid w:val="5FDF70CB"/>
    <w:rsid w:val="6022710E"/>
    <w:rsid w:val="62367D60"/>
    <w:rsid w:val="63CE119D"/>
    <w:rsid w:val="65D83C26"/>
    <w:rsid w:val="674055F2"/>
    <w:rsid w:val="67E14D9A"/>
    <w:rsid w:val="68002B9C"/>
    <w:rsid w:val="681C4CA6"/>
    <w:rsid w:val="6C642AE3"/>
    <w:rsid w:val="6CDC61A9"/>
    <w:rsid w:val="71BB521E"/>
    <w:rsid w:val="75E51BB2"/>
    <w:rsid w:val="7B5A1710"/>
    <w:rsid w:val="7F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A6D5AB"/>
  <w15:docId w15:val="{96ED3560-6AF9-4E4A-941D-BA0C0CD9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jc w:val="left"/>
      <w:outlineLvl w:val="2"/>
    </w:pPr>
    <w:rPr>
      <w:rFonts w:ascii="宋体" w:eastAsia="宋体" w:hAnsi="宋体" w:cs="Times New Roman" w:hint="eastAsia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333333"/>
      <w:u w:val="none"/>
    </w:rPr>
  </w:style>
  <w:style w:type="character" w:styleId="a7">
    <w:name w:val="Emphasis"/>
    <w:basedOn w:val="a0"/>
    <w:qFormat/>
  </w:style>
  <w:style w:type="character" w:styleId="a8">
    <w:name w:val="Hyperlink"/>
    <w:basedOn w:val="a0"/>
    <w:qFormat/>
    <w:rPr>
      <w:color w:val="333333"/>
      <w:u w:val="none"/>
    </w:rPr>
  </w:style>
  <w:style w:type="character" w:customStyle="1" w:styleId="curr3">
    <w:name w:val="curr3"/>
    <w:basedOn w:val="a0"/>
    <w:qFormat/>
    <w:rPr>
      <w:shd w:val="clear" w:color="auto" w:fill="2E6EBB"/>
    </w:rPr>
  </w:style>
  <w:style w:type="paragraph" w:customStyle="1" w:styleId="Style9">
    <w:name w:val="_Style 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0">
    <w:name w:val="_Style 1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31">
    <w:name w:val="font31"/>
    <w:basedOn w:val="a0"/>
    <w:qFormat/>
    <w:rPr>
      <w:rFonts w:ascii="黑体" w:eastAsia="黑体" w:hAnsi="宋体" w:cs="黑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191</Words>
  <Characters>1091</Characters>
  <Application>Microsoft Office Word</Application>
  <DocSecurity>0</DocSecurity>
  <Lines>9</Lines>
  <Paragraphs>2</Paragraphs>
  <ScaleCrop>false</ScaleCrop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何桂超</cp:lastModifiedBy>
  <cp:revision>65</cp:revision>
  <dcterms:created xsi:type="dcterms:W3CDTF">2014-10-29T12:08:00Z</dcterms:created>
  <dcterms:modified xsi:type="dcterms:W3CDTF">2023-10-24T02:40:00Z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