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953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方正小标宋_GBK" w:hAnsi="方正小标宋_GBK" w:eastAsia="方正小标宋_GBK" w:cs="方正小标宋_GBK"/>
          <w:sz w:val="32"/>
          <w:szCs w:val="32"/>
        </w:rPr>
      </w:pPr>
    </w:p>
    <w:p w14:paraId="498FB9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南华县人民政府关于印发南华县城市道路停车泊位管理办法的通知</w:t>
      </w:r>
    </w:p>
    <w:p w14:paraId="0A50C9F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 w:hAnsi="楷体" w:eastAsia="楷体" w:cs="楷体"/>
          <w:sz w:val="32"/>
          <w:szCs w:val="32"/>
        </w:rPr>
      </w:pPr>
      <w:r>
        <w:rPr>
          <w:rFonts w:hint="eastAsia" w:ascii="楷体" w:hAnsi="楷体" w:eastAsia="楷体" w:cs="楷体"/>
          <w:sz w:val="32"/>
          <w:szCs w:val="32"/>
        </w:rPr>
        <w:t>南政规〔2023〕3号</w:t>
      </w:r>
    </w:p>
    <w:p w14:paraId="48A31F7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sz w:val="32"/>
          <w:szCs w:val="32"/>
        </w:rPr>
      </w:pPr>
    </w:p>
    <w:p w14:paraId="4CAA71AF">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各乡镇人民政府，县直各部门（单位）：</w:t>
      </w:r>
    </w:p>
    <w:p w14:paraId="3802E62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《南华县城市道路停车泊位管理办法》已经2023年12月20日十八届县人民政府第38次常务会议审议通过，现予公布，自2024年2月1日起施行。</w:t>
      </w:r>
    </w:p>
    <w:p w14:paraId="3E7D633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1B28D47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778140D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23B20DCF">
      <w:pPr>
        <w:keepNext w:val="0"/>
        <w:keepLines w:val="0"/>
        <w:pageBreakBefore w:val="0"/>
        <w:widowControl w:val="0"/>
        <w:kinsoku/>
        <w:wordWrap/>
        <w:overflowPunct/>
        <w:topLinePunct w:val="0"/>
        <w:autoSpaceDE/>
        <w:autoSpaceDN/>
        <w:bidi w:val="0"/>
        <w:adjustRightInd w:val="0"/>
        <w:snapToGrid w:val="0"/>
        <w:spacing w:line="240" w:lineRule="auto"/>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南华县人民政府</w:t>
      </w:r>
    </w:p>
    <w:p w14:paraId="2C5BD175">
      <w:pPr>
        <w:keepNext w:val="0"/>
        <w:keepLines w:val="0"/>
        <w:pageBreakBefore w:val="0"/>
        <w:widowControl w:val="0"/>
        <w:kinsoku/>
        <w:wordWrap/>
        <w:overflowPunct/>
        <w:topLinePunct w:val="0"/>
        <w:autoSpaceDE/>
        <w:autoSpaceDN/>
        <w:bidi w:val="0"/>
        <w:adjustRightInd w:val="0"/>
        <w:snapToGrid w:val="0"/>
        <w:spacing w:line="240" w:lineRule="auto"/>
        <w:ind w:firstLine="4800" w:firstLineChars="15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2024年1月1日</w:t>
      </w:r>
    </w:p>
    <w:p w14:paraId="3E1B867D">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14:paraId="633ACE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073AFC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4DBD58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0F94106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33A21EB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0E49460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00EA4E8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12D1A68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3962E2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4D8005A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A71DF1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7443996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3195384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5621512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16B2109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326BF80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30B8454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1FED2D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2C51B2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南华县城市道路停车泊位管理办法</w:t>
      </w:r>
    </w:p>
    <w:p w14:paraId="615D3D0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p>
    <w:p w14:paraId="3EA89C5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第一条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为规范城市道路停车泊</w:t>
      </w:r>
      <w:bookmarkStart w:id="0" w:name="_GoBack"/>
      <w:bookmarkEnd w:id="0"/>
      <w:r>
        <w:rPr>
          <w:rFonts w:hint="default" w:ascii="Times New Roman" w:hAnsi="Times New Roman" w:eastAsia="仿宋_GB2312" w:cs="Times New Roman"/>
          <w:sz w:val="32"/>
          <w:szCs w:val="32"/>
        </w:rPr>
        <w:t>位管理，确保道路交通安全畅通，根据《中华人民共和国道路交通安全法》《城市道路管理条例》等有关法律法规，结合我县实际，制定本办法。</w:t>
      </w:r>
    </w:p>
    <w:p w14:paraId="397B635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县城规划区范围内城市道路停车泊位的设置、使用和管理适用本办法。</w:t>
      </w:r>
    </w:p>
    <w:p w14:paraId="3D2CD8F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第三条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本办法所称城市道路，是指南华县城市规划区内供车辆、行人通行，具有一定技术条件的道路、桥梁及其附属设施。</w:t>
      </w:r>
    </w:p>
    <w:p w14:paraId="2347BB9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第四条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本办法所称的城市道路停车泊位，是指根据《城市道路路内停车泊位设置规范（GA/T 850—2021）》在城市道路内用交通标线、标志等交通管理设施设置的专供机动车辆停放的临时停车场地。</w:t>
      </w:r>
    </w:p>
    <w:p w14:paraId="74AF8E7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第五条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城市道路停车泊位仅供车辆按规定时段临时停放。</w:t>
      </w:r>
    </w:p>
    <w:p w14:paraId="59715CE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第六</w:t>
      </w:r>
      <w:r>
        <w:rPr>
          <w:rFonts w:hint="eastAsia" w:ascii="黑体" w:hAnsi="黑体" w:eastAsia="黑体" w:cs="黑体"/>
          <w:sz w:val="32"/>
          <w:szCs w:val="32"/>
          <w:lang w:eastAsia="zh-CN"/>
        </w:rPr>
        <w:t>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城市道路停车泊位的设置应当遵循合理布局、统一规划、规范管理、安全畅通的原则。</w:t>
      </w:r>
    </w:p>
    <w:p w14:paraId="7815ABC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第七条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住房城乡建设部门负责组织实施城市道路停车泊位的设置、使用和管理。</w:t>
      </w:r>
    </w:p>
    <w:p w14:paraId="7392363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公安、发展改革、市场监管、交通运输等部门按照各自职责做好相关工作。</w:t>
      </w:r>
    </w:p>
    <w:p w14:paraId="7EE05D8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第八条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住房城乡建设部门会同公安部门根据道路交通状况和区域停车需求，在保障行人、车辆通行安全与道路畅通相适应的前提下，统一设置或者撤除城市道路停车泊位。</w:t>
      </w:r>
    </w:p>
    <w:p w14:paraId="541D639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第九条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城市道路停车泊位分为收费停车泊位和出租车、公交车免费停车泊位。每个城市道路停车泊位宽度一般为2米至2.5米，长度一般为6米至10米。</w:t>
      </w:r>
    </w:p>
    <w:p w14:paraId="05AF9FD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下列城市道路范围内不得设置停车泊位：</w:t>
      </w:r>
    </w:p>
    <w:p w14:paraId="72684C9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（一）快速路和主干路的主道或主要的次干道；</w:t>
      </w:r>
    </w:p>
    <w:p w14:paraId="2E7F740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（二）双向通行的宽度小于8米、单向通行的宽度小于6米的机动车车行道；</w:t>
      </w:r>
    </w:p>
    <w:p w14:paraId="71C81F1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（三）不能保证预留3米以上通道的人行道；</w:t>
      </w:r>
    </w:p>
    <w:p w14:paraId="6B9019F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（四）消防通道、盲道、无障碍坡道；</w:t>
      </w:r>
    </w:p>
    <w:p w14:paraId="66017C4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（五）燃气、电缆等地下管线工作井周边1.5米以内的区域；</w:t>
      </w:r>
    </w:p>
    <w:p w14:paraId="3B366DF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（六）法律、法规和行业标准规定的其他区域。</w:t>
      </w:r>
    </w:p>
    <w:p w14:paraId="4E69371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第十一条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鼓励和提倡车站、宾馆及其他客流集散地利用自有场地，设置相应的出租汽车临时候客泊位。</w:t>
      </w:r>
    </w:p>
    <w:p w14:paraId="57C569D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第十二条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因城市建设和交通管理需要，原城市道路上设置的城市道路停车泊位可以根据规划建设和交通状况的需要增设或取消。</w:t>
      </w:r>
    </w:p>
    <w:p w14:paraId="5BD486B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政府批准的城市基础设施建设或者大型群体性活动需要停止使用、取消、迁移城市道路停车设施的，相关部门应当提前报住房城乡建设部门，由住房城乡建设部门书面通知经营单位。</w:t>
      </w:r>
    </w:p>
    <w:p w14:paraId="1B1D4D0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第十三条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住房城乡建设部门以公开招标的方式确定城市道路停车泊位经营者，通过竞争机制提高服务质量。</w:t>
      </w:r>
    </w:p>
    <w:p w14:paraId="3DE1BF6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第十四条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城市道路停车泊位经营者与住房城乡建设部门签订《特许经营协议》后，依照《特许经营协议》对城市道路停车泊位实行收费管理。</w:t>
      </w:r>
    </w:p>
    <w:p w14:paraId="4E96E70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第十五条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城市道路停车泊位经营者可以根据交通状况及车流量建议公安、住房城乡建设部门增加或者减少城市道路停车泊位。</w:t>
      </w:r>
    </w:p>
    <w:p w14:paraId="1F6451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第十六条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城市道路停车泊位经营者应当建立服务管理制度，规范服务行为，提高工作效率，自觉接受住房城乡建设、公安、发展改革、市场监管、交通运输等部门的监督管理。</w:t>
      </w:r>
    </w:p>
    <w:p w14:paraId="2DDDCAC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第十七条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城市道路停车泊位经营者应当履行下列职责：</w:t>
      </w:r>
    </w:p>
    <w:p w14:paraId="02DC73C3">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（一）严格按照价格行政主管部门核定的标准收费，并出具税务部门收费专用票据，对不出具收费专用票据的，驾驶人有权拒绝缴纳；</w:t>
      </w:r>
    </w:p>
    <w:p w14:paraId="042DC219">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（二）为负责城市道路停车泊位收费管理工作的人员进行培训，配备统一服装和标识；</w:t>
      </w:r>
    </w:p>
    <w:p w14:paraId="5596BFE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（三）维护好停车路段的停车秩序及公共卫生，做到横向成排、纵向成列、泊位干净整洁；</w:t>
      </w:r>
    </w:p>
    <w:p w14:paraId="369B7E5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（四）根据城市道路交通管理的发展，按照住房城乡建设部门的要求，推进管理科技化；</w:t>
      </w:r>
    </w:p>
    <w:p w14:paraId="4C5AB8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（五）在停车收费路段醒目位置设置停车收费公示牌，公布收费单位、收费标准、收费依据、计费方式、监督投诉电话等，接受社会监督；</w:t>
      </w:r>
    </w:p>
    <w:p w14:paraId="050B07C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（六）对停车泊位公示牌等设施进行维护，有破损、残缺的及时维护更新，确保停车收费设备、设施的正常运行；</w:t>
      </w:r>
    </w:p>
    <w:p w14:paraId="6F16ADE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（七）建立健全安全管理制度，对相关人员的人身受到伤害、公共设施受到损毁、车辆挂擦、损坏、盗窃等情况，应及时采取处置措施并向公安机关报警。</w:t>
      </w:r>
    </w:p>
    <w:p w14:paraId="430B0ED6">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第十八条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城市道路停车泊位实行收费的，按照不同地段、不同停车时间确定收费标准。具体收费标准由县价格行政主管部门核定。</w:t>
      </w:r>
    </w:p>
    <w:p w14:paraId="61AACA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第十九条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住房城乡建设部门应当建立城市道路停车泊位投诉管理制度，设置投诉电话，接受社会监督。</w:t>
      </w:r>
    </w:p>
    <w:p w14:paraId="7010443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城市道路停车泊位车辆停放要求：</w:t>
      </w:r>
    </w:p>
    <w:p w14:paraId="692E857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（一）进入城市道路停车泊位的车辆，应当按顺行方向依次停放在泊位内；</w:t>
      </w:r>
    </w:p>
    <w:p w14:paraId="700B575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（二）禁止超高、超长、超重等可能造成城市道路和其他设施损坏的车辆停放；</w:t>
      </w:r>
    </w:p>
    <w:p w14:paraId="0981733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（三）禁止其他车辆占用出租汽车、公交车专用停车泊位；</w:t>
      </w:r>
    </w:p>
    <w:p w14:paraId="429DD14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（四）摩托车、非机动车应在指定停放地点内停放。</w:t>
      </w:r>
    </w:p>
    <w:p w14:paraId="65B145EC">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第二十一条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进入城市道路停车泊位驾驶人应当遵守下列规定：</w:t>
      </w:r>
    </w:p>
    <w:p w14:paraId="13691C8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（一）遵守道路交通安全法规，服从公安机关交通管理人员的指挥和管理，听从停车泊位管理员的指挥和劝导；</w:t>
      </w:r>
    </w:p>
    <w:p w14:paraId="3D3E4D7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（二）不得在泊位内从事维修、清洗车辆等活动；</w:t>
      </w:r>
    </w:p>
    <w:p w14:paraId="159CE39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（三）按规定缴纳停车费用，自觉维护停车场地相关设施完好及公共卫生，损坏相关设施的依法负责赔偿。</w:t>
      </w:r>
    </w:p>
    <w:p w14:paraId="5A4F8FC1">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第二十二条</w:t>
      </w:r>
      <w:r>
        <w:rPr>
          <w:rFonts w:hint="eastAsia" w:eastAsia="仿宋_GB2312" w:cs="Times New Roman"/>
          <w:sz w:val="32"/>
          <w:szCs w:val="32"/>
          <w:lang w:eastAsia="zh-CN"/>
        </w:rPr>
        <w:t>　</w:t>
      </w:r>
      <w:r>
        <w:rPr>
          <w:rFonts w:hint="default" w:ascii="Times New Roman" w:hAnsi="Times New Roman" w:eastAsia="仿宋_GB2312" w:cs="Times New Roman"/>
          <w:sz w:val="32"/>
          <w:szCs w:val="32"/>
        </w:rPr>
        <w:t>任何单位或个人不得有下列行为：</w:t>
      </w:r>
    </w:p>
    <w:p w14:paraId="14CA716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（一）损坏、盗窃城市道路停车泊位设施；</w:t>
      </w:r>
    </w:p>
    <w:p w14:paraId="78B71E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（二）在道路停车泊位内设置障碍，妨碍他人停车；</w:t>
      </w:r>
    </w:p>
    <w:p w14:paraId="4A7927DA">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（三）占用城市道路停车泊位摆摊设点、堆物、作业；</w:t>
      </w:r>
    </w:p>
    <w:p w14:paraId="2CE8F8B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（四）擅自拆除、迁移或者改动城市道路停车泊位设施；</w:t>
      </w:r>
    </w:p>
    <w:p w14:paraId="5CD717A5">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（五）擅自在城市道路停车泊位设施上粘贴或者悬挂广告、招牌、标语或者其他物品；</w:t>
      </w:r>
    </w:p>
    <w:p w14:paraId="5302A30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（六）擅自在城市道路停车泊位设施上涂抹、刻画；</w:t>
      </w:r>
    </w:p>
    <w:p w14:paraId="57B1B31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（七）擅自设置和违法占用城市道路停车泊位；</w:t>
      </w:r>
    </w:p>
    <w:p w14:paraId="2A79FC4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（八）擅自损毁、拆卸、移动停车泊位标线、标识、标志牌和收费仪表等设施；</w:t>
      </w:r>
    </w:p>
    <w:p w14:paraId="1B50B5E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（九）其他危害城市道路停车泊位设施的行为。</w:t>
      </w:r>
    </w:p>
    <w:p w14:paraId="7646A8C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第二十三条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确需占用、取消或者改变泊位用途的，应当报经住房城乡建设部门批准。</w:t>
      </w:r>
    </w:p>
    <w:p w14:paraId="6DC0212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第二十四条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任何单位或个人有权对违法停车和乱收费行为进行投诉举报，公安、住房城乡建设、市场监管等部门按照各自职责及时对被投诉举报行为进行调查处理。</w:t>
      </w:r>
    </w:p>
    <w:p w14:paraId="72C0B410">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第二十五条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经营者违反本办法第十六条、第十七条规定的，由有关部门依法处理。</w:t>
      </w:r>
    </w:p>
    <w:p w14:paraId="0510CE0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第二十六条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违反本办法第二十条、第二十一条、第二十二条规定的，由住房城乡建设、公安、市场监督管理等部门依法进行处理。</w:t>
      </w:r>
    </w:p>
    <w:p w14:paraId="7EAD038B">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第二十七条</w:t>
      </w:r>
      <w:r>
        <w:rPr>
          <w:rFonts w:hint="eastAsia" w:eastAsia="仿宋_GB2312" w:cs="Times New Roman"/>
          <w:sz w:val="32"/>
          <w:szCs w:val="32"/>
          <w:lang w:val="en-US" w:eastAsia="zh-CN"/>
        </w:rPr>
        <w:t>　</w:t>
      </w:r>
      <w:r>
        <w:rPr>
          <w:rFonts w:hint="default" w:ascii="Times New Roman" w:hAnsi="Times New Roman" w:eastAsia="仿宋_GB2312" w:cs="Times New Roman"/>
          <w:sz w:val="32"/>
          <w:szCs w:val="32"/>
        </w:rPr>
        <w:t>本办法自2024年2月1日起施行。2019年3月10日公布实施的《南华县城市道路停车泊位管理办法》（南政规〔2019〕1号）同时废止。</w:t>
      </w:r>
    </w:p>
    <w:sectPr>
      <w:headerReference r:id="rId5" w:type="default"/>
      <w:footerReference r:id="rId6" w:type="default"/>
      <w:pgSz w:w="11906" w:h="16838"/>
      <w:pgMar w:top="2098" w:right="1474" w:bottom="1984" w:left="1587" w:header="850" w:footer="850"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B294E">
    <w:pPr>
      <w:pStyle w:val="2"/>
      <w:jc w:val="right"/>
      <w:rPr>
        <w:rFonts w:hint="eastAsia" w:asciiTheme="minorEastAsia" w:hAnsiTheme="minorEastAsia" w:eastAsiaTheme="minorEastAsia" w:cstheme="minorEastAsia"/>
        <w:b/>
        <w:bCs/>
        <w:color w:val="0070C0"/>
        <w:sz w:val="36"/>
        <w:szCs w:val="72"/>
      </w:rPr>
    </w:pPr>
    <w:r>
      <w:rPr>
        <w:sz w:val="28"/>
      </w:rPr>
      <mc:AlternateContent>
        <mc:Choice Requires="wps">
          <w:drawing>
            <wp:anchor distT="0" distB="0" distL="114300" distR="114300" simplePos="0" relativeHeight="251664384" behindDoc="0" locked="0" layoutInCell="1" allowOverlap="1">
              <wp:simplePos x="0" y="0"/>
              <wp:positionH relativeFrom="column">
                <wp:posOffset>3855085</wp:posOffset>
              </wp:positionH>
              <wp:positionV relativeFrom="paragraph">
                <wp:posOffset>39370</wp:posOffset>
              </wp:positionV>
              <wp:extent cx="1774825" cy="344805"/>
              <wp:effectExtent l="0" t="0" r="8255" b="5715"/>
              <wp:wrapNone/>
              <wp:docPr id="5" name="文本框 5"/>
              <wp:cNvGraphicFramePr/>
              <a:graphic xmlns:a="http://schemas.openxmlformats.org/drawingml/2006/main">
                <a:graphicData uri="http://schemas.microsoft.com/office/word/2010/wordprocessingShape">
                  <wps:wsp>
                    <wps:cNvSpPr txBox="1"/>
                    <wps:spPr>
                      <a:xfrm>
                        <a:off x="6294755" y="9977755"/>
                        <a:ext cx="1774825" cy="3448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50F9DAE">
                          <w:pPr>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91ACE0" w:themeColor="accent1" w:themeTint="99"/>
                              <w:sz w:val="28"/>
                              <w:szCs w:val="28"/>
                              <w14:textFill>
                                <w14:solidFill>
                                  <w14:schemeClr w14:val="accent1">
                                    <w14:lumMod w14:val="60000"/>
                                    <w14:lumOff w14:val="40000"/>
                                  </w14:schemeClr>
                                </w14:solidFill>
                              </w14:textFill>
                            </w:rPr>
                          </w:pPr>
                          <w:r>
                            <w:rPr>
                              <w:rFonts w:hint="eastAsia" w:asciiTheme="minorEastAsia" w:hAnsiTheme="minorEastAsia" w:eastAsiaTheme="minorEastAsia" w:cstheme="minorEastAsia"/>
                              <w:b/>
                              <w:bCs/>
                              <w:color w:val="0070C0"/>
                              <w:sz w:val="28"/>
                              <w:szCs w:val="28"/>
                            </w:rPr>
                            <w:t>南华县人民政府发</w:t>
                          </w:r>
                          <w:r>
                            <w:rPr>
                              <w:rFonts w:hint="eastAsia" w:asciiTheme="minorEastAsia" w:hAnsiTheme="minorEastAsia" w:eastAsiaTheme="minorEastAsia" w:cstheme="minorEastAsia"/>
                              <w:b/>
                              <w:bCs/>
                              <w:color w:val="91ACE0" w:themeColor="accent1" w:themeTint="99"/>
                              <w:sz w:val="28"/>
                              <w:szCs w:val="28"/>
                              <w14:textFill>
                                <w14:solidFill>
                                  <w14:schemeClr w14:val="accent1">
                                    <w14:lumMod w14:val="60000"/>
                                    <w14:lumOff w14:val="40000"/>
                                  </w14:schemeClr>
                                </w14:solidFill>
                              </w14:textFill>
                            </w:rPr>
                            <w:t>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3.55pt;margin-top:3.1pt;height:27.15pt;width:139.75pt;z-index:251664384;mso-width-relative:page;mso-height-relative:page;" fillcolor="#FFFFFF [3201]" filled="t" stroked="f" coordsize="21600,21600" o:gfxdata="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AzDKTTAAAA&#10;CAEAAA8AAAAAAAAAAQAgAAAAIgAAAGRycy9kb3ducmV2LnhtbFBLAQIUABQAAAAIAIdO4kDncmQe&#10;WwIAAJsEAAAOAAAAAAAAAAEAIAAAACIBAABkcnMvZTJvRG9jLnhtbFBLBQYAAAAABgAGAFkBAADv&#10;BQAAAAA=&#10;">
              <v:fill on="t" focussize="0,0"/>
              <v:stroke on="f" weight="0.5pt"/>
              <v:imagedata o:title=""/>
              <o:lock v:ext="edit" aspectratio="f"/>
              <v:textbox>
                <w:txbxContent>
                  <w:p w14:paraId="050F9DAE">
                    <w:pPr>
                      <w:keepNext w:val="0"/>
                      <w:keepLines w:val="0"/>
                      <w:pageBreakBefore w:val="0"/>
                      <w:widowControl w:val="0"/>
                      <w:kinsoku/>
                      <w:wordWrap/>
                      <w:overflowPunct/>
                      <w:topLinePunct w:val="0"/>
                      <w:bidi w:val="0"/>
                      <w:adjustRightInd w:val="0"/>
                      <w:snapToGrid w:val="0"/>
                      <w:spacing w:line="240" w:lineRule="auto"/>
                      <w:ind w:firstLine="0" w:firstLineChars="0"/>
                      <w:textAlignment w:val="auto"/>
                      <w:rPr>
                        <w:rFonts w:hint="eastAsia" w:asciiTheme="minorEastAsia" w:hAnsiTheme="minorEastAsia" w:eastAsiaTheme="minorEastAsia" w:cstheme="minorEastAsia"/>
                        <w:b/>
                        <w:bCs/>
                        <w:color w:val="91ACE0" w:themeColor="accent1" w:themeTint="99"/>
                        <w:sz w:val="28"/>
                        <w:szCs w:val="28"/>
                        <w14:textFill>
                          <w14:solidFill>
                            <w14:schemeClr w14:val="accent1">
                              <w14:lumMod w14:val="60000"/>
                              <w14:lumOff w14:val="40000"/>
                            </w14:schemeClr>
                          </w14:solidFill>
                        </w14:textFill>
                      </w:rPr>
                    </w:pPr>
                    <w:r>
                      <w:rPr>
                        <w:rFonts w:hint="eastAsia" w:asciiTheme="minorEastAsia" w:hAnsiTheme="minorEastAsia" w:eastAsiaTheme="minorEastAsia" w:cstheme="minorEastAsia"/>
                        <w:b/>
                        <w:bCs/>
                        <w:color w:val="0070C0"/>
                        <w:sz w:val="28"/>
                        <w:szCs w:val="28"/>
                      </w:rPr>
                      <w:t>南华县人民政府发</w:t>
                    </w:r>
                    <w:r>
                      <w:rPr>
                        <w:rFonts w:hint="eastAsia" w:asciiTheme="minorEastAsia" w:hAnsiTheme="minorEastAsia" w:eastAsiaTheme="minorEastAsia" w:cstheme="minorEastAsia"/>
                        <w:b/>
                        <w:bCs/>
                        <w:color w:val="91ACE0" w:themeColor="accent1" w:themeTint="99"/>
                        <w:sz w:val="28"/>
                        <w:szCs w:val="28"/>
                        <w14:textFill>
                          <w14:solidFill>
                            <w14:schemeClr w14:val="accent1">
                              <w14:lumMod w14:val="60000"/>
                              <w14:lumOff w14:val="40000"/>
                            </w14:schemeClr>
                          </w14:solidFill>
                        </w14:textFill>
                      </w:rPr>
                      <w:t>布</w:t>
                    </w:r>
                  </w:p>
                </w:txbxContent>
              </v:textbox>
            </v:shape>
          </w:pict>
        </mc:Fallback>
      </mc:AlternateContent>
    </w:r>
    <w:r>
      <w:rPr>
        <w:rFonts w:hint="default" w:ascii="Times New Roman" w:hAnsi="Times New Roman" w:cs="Times New Roman" w:eastAsiaTheme="minorEastAsia"/>
        <w:b/>
        <w:bCs/>
        <w:color w:val="0070C0"/>
        <w:sz w:val="28"/>
        <w:szCs w:val="28"/>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-18415</wp:posOffset>
              </wp:positionV>
              <wp:extent cx="5646420" cy="17145"/>
              <wp:effectExtent l="0" t="13970" r="7620" b="14605"/>
              <wp:wrapNone/>
              <wp:docPr id="1" name="直接连接符 1"/>
              <wp:cNvGraphicFramePr/>
              <a:graphic xmlns:a="http://schemas.openxmlformats.org/drawingml/2006/main">
                <a:graphicData uri="http://schemas.microsoft.com/office/word/2010/wordprocessingShape">
                  <wps:wsp>
                    <wps:cNvCnPr/>
                    <wps:spPr>
                      <a:xfrm>
                        <a:off x="1238885" y="9629775"/>
                        <a:ext cx="5646420" cy="17145"/>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8pt;margin-top:-1.45pt;height:1.35pt;width:444.6pt;z-index:251660288;mso-width-relative:page;mso-height-relative:page;" filled="f" stroked="t" coordsize="21600,21600" o:gfxdata="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zihD0wAAAAYBAAAPAAAAAAAAAAEAIAAAACIAAABkcnMvZG93bnJldi54bWxQ&#10;SwECFAAUAAAACACHTuJA4eV+ivwBAADCAwAADgAAAAAAAAABACAAAAAiAQAAZHJzL2Uyb0RvYy54&#10;bWxQSwUGAAAAAAYABgBZAQAAkAUAAAAA&#10;">
              <v:fill on="f" focussize="0,0"/>
              <v:stroke weight="2.25pt" color="#4874CB [3204]" miterlimit="8" joinstyle="miter"/>
              <v:imagedata o:title=""/>
              <o:lock v:ext="edit" aspectratio="f"/>
            </v:line>
          </w:pict>
        </mc:Fallback>
      </mc:AlternateContent>
    </w:r>
    <w:r>
      <w:rPr>
        <w:rFonts w:hint="default" w:ascii="Times New Roman" w:hAnsi="Times New Roman" w:cs="Times New Roman"/>
        <w:b/>
        <w:bCs/>
        <w:sz w:val="28"/>
        <w:szCs w:val="28"/>
      </w:rPr>
      <mc:AlternateContent>
        <mc:Choice Requires="wps">
          <w:drawing>
            <wp:anchor distT="0" distB="0" distL="114300" distR="114300" simplePos="0" relativeHeight="251662336" behindDoc="0" locked="0" layoutInCell="1" allowOverlap="1">
              <wp:simplePos x="0" y="0"/>
              <wp:positionH relativeFrom="margin">
                <wp:posOffset>4966335</wp:posOffset>
              </wp:positionH>
              <wp:positionV relativeFrom="paragraph">
                <wp:posOffset>-350520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A212A">
                          <w:pPr>
                            <w:pStyle w:val="2"/>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05pt;margin-top:-27.6pt;height:144pt;width:144pt;mso-position-horizontal-relative:margin;mso-wrap-style:none;z-index:251662336;mso-width-relative:page;mso-height-relative:page;" filled="f" stroked="f" coordsize="21600,21600" o:gfxdata="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mquk2QAAAAwBAAAPAAAAAAAAAAEAIAAAACIAAABkcnMvZG93bnJldi54&#10;bWxQSwECFAAUAAAACACHTuJAuow4KzICAABhBAAADgAAAAAAAAABACAAAAAoAQAAZHJzL2Uyb0Rv&#10;Yy54bWxQSwUGAAAAAAYABgBZAQAAzAUAAAAA&#10;">
              <v:fill on="f" focussize="0,0"/>
              <v:stroke on="f" weight="0.5pt"/>
              <v:imagedata o:title=""/>
              <o:lock v:ext="edit" aspectratio="f"/>
              <v:textbox inset="0mm,0mm,0mm,0mm" style="mso-fit-shape-to-text:t;">
                <w:txbxContent>
                  <w:p w14:paraId="141A212A">
                    <w:pPr>
                      <w:pStyle w:val="2"/>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171FA">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val="0"/>
      <w:spacing w:line="240" w:lineRule="auto"/>
      <w:jc w:val="both"/>
      <w:textAlignment w:val="center"/>
      <w:outlineLvl w:val="9"/>
      <w:rPr>
        <w:rFonts w:hint="eastAsia" w:ascii="宋体" w:hAnsi="宋体" w:eastAsia="宋体" w:cs="宋体"/>
        <w:b/>
        <w:bCs/>
        <w:color w:val="005192"/>
        <w:kern w:val="2"/>
        <w:sz w:val="32"/>
        <w:szCs w:val="32"/>
        <w:lang w:val="en-US" w:eastAsia="zh-CN" w:bidi="ar-SA"/>
      </w:rPr>
    </w:pPr>
    <w:r>
      <w:rPr>
        <w:sz w:val="32"/>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768985</wp:posOffset>
              </wp:positionV>
              <wp:extent cx="5623560" cy="0"/>
              <wp:effectExtent l="0" t="9525" r="0" b="13335"/>
              <wp:wrapNone/>
              <wp:docPr id="3" name="直接连接符 3"/>
              <wp:cNvGraphicFramePr/>
              <a:graphic xmlns:a="http://schemas.openxmlformats.org/drawingml/2006/main">
                <a:graphicData uri="http://schemas.microsoft.com/office/word/2010/wordprocessingShape">
                  <wps:wsp>
                    <wps:cNvCnPr/>
                    <wps:spPr>
                      <a:xfrm>
                        <a:off x="1025525" y="1321435"/>
                        <a:ext cx="5623560" cy="0"/>
                      </a:xfrm>
                      <a:prstGeom prst="line">
                        <a:avLst/>
                      </a:prstGeom>
                      <a:ln w="28575"/>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pt;margin-top:60.55pt;height:0pt;width:442.8pt;z-index:251663360;mso-width-relative:page;mso-height-relative:page;" filled="f" stroked="t" coordsize="21600,21600" o:gfxdata="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KRbL1AAAAAkBAAAPAAAAAAAAAAEAIAAAACIAAABkcnMvZG93bnJldi54bWxQSwEC&#10;FAAUAAAACACHTuJAh1qOh/gBAAC+AwAADgAAAAAAAAABACAAAAAjAQAAZHJzL2Uyb0RvYy54bWxQ&#10;SwUGAAAAAAYABgBZAQAAjQUAAAAA&#10;">
              <v:fill on="f" focussize="0,0"/>
              <v:stroke weight="2.25pt" color="#4874CB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528320</wp:posOffset>
              </wp:positionH>
              <wp:positionV relativeFrom="paragraph">
                <wp:posOffset>296545</wp:posOffset>
              </wp:positionV>
              <wp:extent cx="3277235" cy="419100"/>
              <wp:effectExtent l="0" t="0" r="14605" b="7620"/>
              <wp:wrapNone/>
              <wp:docPr id="2" name="文本框 2"/>
              <wp:cNvGraphicFramePr/>
              <a:graphic xmlns:a="http://schemas.openxmlformats.org/drawingml/2006/main">
                <a:graphicData uri="http://schemas.microsoft.com/office/word/2010/wordprocessingShape">
                  <wps:wsp>
                    <wps:cNvSpPr txBox="1"/>
                    <wps:spPr>
                      <a:xfrm>
                        <a:off x="1581785" y="963295"/>
                        <a:ext cx="3277235" cy="419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EF51762">
                          <w:pPr>
                            <w:ind w:left="0" w:leftChars="0" w:firstLine="0" w:firstLineChars="0"/>
                            <w:rPr>
                              <w:rFonts w:hint="eastAsia" w:asciiTheme="minorEastAsia" w:hAnsiTheme="minorEastAsia" w:eastAsiaTheme="minorEastAsia" w:cstheme="minorEastAsia"/>
                              <w:b/>
                              <w:bCs/>
                              <w:color w:val="0070C0"/>
                              <w:sz w:val="32"/>
                              <w:szCs w:val="32"/>
                              <w:lang w:eastAsia="zh-CN"/>
                            </w:rPr>
                          </w:pPr>
                          <w:r>
                            <w:rPr>
                              <w:rFonts w:hint="eastAsia" w:asciiTheme="minorEastAsia" w:hAnsiTheme="minorEastAsia" w:eastAsiaTheme="minorEastAsia" w:cstheme="minorEastAsia"/>
                              <w:b/>
                              <w:bCs/>
                              <w:color w:val="0070C0"/>
                              <w:sz w:val="32"/>
                              <w:szCs w:val="32"/>
                              <w:lang w:eastAsia="zh-CN"/>
                            </w:rPr>
                            <w:t>南华县人民政府行政规范性文件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6pt;margin-top:23.35pt;height:33pt;width:258.05pt;z-index:251661312;mso-width-relative:page;mso-height-relative:page;" fillcolor="#FFFFFF [3201]" filled="t" stroked="f" coordsize="21600,21600" o:gfxdata="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9tdx&#10;mdUAAAAJAQAADwAAAAAAAAABACAAAAAiAAAAZHJzL2Rvd25yZXYueG1sUEsBAhQAFAAAAAgAh07i&#10;QO3uceVeAgAAmgQAAA4AAAAAAAAAAQAgAAAAJAEAAGRycy9lMm9Eb2MueG1sUEsFBgAAAAAGAAYA&#10;WQEAAPQFAAAAAA==&#10;">
              <v:fill on="t" focussize="0,0"/>
              <v:stroke on="f" weight="0.5pt"/>
              <v:imagedata o:title=""/>
              <o:lock v:ext="edit" aspectratio="f"/>
              <v:textbox>
                <w:txbxContent>
                  <w:p w14:paraId="2EF51762">
                    <w:pPr>
                      <w:ind w:left="0" w:leftChars="0" w:firstLine="0" w:firstLineChars="0"/>
                      <w:rPr>
                        <w:rFonts w:hint="eastAsia" w:asciiTheme="minorEastAsia" w:hAnsiTheme="minorEastAsia" w:eastAsiaTheme="minorEastAsia" w:cstheme="minorEastAsia"/>
                        <w:b/>
                        <w:bCs/>
                        <w:color w:val="0070C0"/>
                        <w:sz w:val="32"/>
                        <w:szCs w:val="32"/>
                        <w:lang w:eastAsia="zh-CN"/>
                      </w:rPr>
                    </w:pPr>
                    <w:r>
                      <w:rPr>
                        <w:rFonts w:hint="eastAsia" w:asciiTheme="minorEastAsia" w:hAnsiTheme="minorEastAsia" w:eastAsiaTheme="minorEastAsia" w:cstheme="minorEastAsia"/>
                        <w:b/>
                        <w:bCs/>
                        <w:color w:val="0070C0"/>
                        <w:sz w:val="32"/>
                        <w:szCs w:val="32"/>
                        <w:lang w:eastAsia="zh-CN"/>
                      </w:rPr>
                      <w:t>南华县人民政府行政规范性文件</w:t>
                    </w:r>
                  </w:p>
                </w:txbxContent>
              </v:textbox>
            </v:shape>
          </w:pict>
        </mc:Fallback>
      </mc:AlternateContent>
    </w:r>
    <w:r>
      <w:rPr>
        <w:rFonts w:hint="eastAsia" w:ascii="宋体" w:hAnsi="宋体" w:eastAsia="宋体" w:cs="宋体"/>
        <w:b/>
        <w:bCs/>
        <w:color w:val="005192"/>
        <w:kern w:val="2"/>
        <w:sz w:val="32"/>
        <w:szCs w:val="24"/>
        <w:lang w:val="en-US" w:eastAsia="zh-CN" w:bidi="ar-SA"/>
      </w:rPr>
      <w:drawing>
        <wp:anchor distT="0" distB="0" distL="114300" distR="114300" simplePos="0" relativeHeight="251659264" behindDoc="0" locked="0" layoutInCell="1" allowOverlap="1">
          <wp:simplePos x="0" y="0"/>
          <wp:positionH relativeFrom="column">
            <wp:posOffset>17780</wp:posOffset>
          </wp:positionH>
          <wp:positionV relativeFrom="paragraph">
            <wp:posOffset>263525</wp:posOffset>
          </wp:positionV>
          <wp:extent cx="483870" cy="483870"/>
          <wp:effectExtent l="0" t="0" r="3810" b="3810"/>
          <wp:wrapNone/>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483870" cy="4838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GYwOWJlNmNmZTZiMjcwZDNmN2MzOTU1NGE4N2IifQ=="/>
  </w:docVars>
  <w:rsids>
    <w:rsidRoot w:val="00000000"/>
    <w:rsid w:val="01862B16"/>
    <w:rsid w:val="07F676CA"/>
    <w:rsid w:val="0823486A"/>
    <w:rsid w:val="095003DC"/>
    <w:rsid w:val="169A44EC"/>
    <w:rsid w:val="202E11D8"/>
    <w:rsid w:val="2EF20677"/>
    <w:rsid w:val="3B2F38F8"/>
    <w:rsid w:val="5BA778BA"/>
    <w:rsid w:val="5E556DCE"/>
    <w:rsid w:val="66246274"/>
    <w:rsid w:val="73F832C8"/>
    <w:rsid w:val="764471A9"/>
    <w:rsid w:val="766D77DE"/>
    <w:rsid w:val="7B9A0422"/>
    <w:rsid w:val="7E55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napToGrid w:val="0"/>
      <w:spacing w:line="578" w:lineRule="exact"/>
      <w:ind w:firstLine="880" w:firstLineChars="200"/>
      <w:jc w:val="both"/>
    </w:pPr>
    <w:rPr>
      <w:rFonts w:ascii="Times New Roman" w:hAnsi="Times New Roman" w:eastAsia="方正仿宋_GBK" w:cstheme="minorBidi"/>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2531</Words>
  <Characters>2571</Characters>
  <Lines>0</Lines>
  <Paragraphs>0</Paragraphs>
  <TotalTime>92</TotalTime>
  <ScaleCrop>false</ScaleCrop>
  <LinksUpToDate>false</LinksUpToDate>
  <CharactersWithSpaces>2599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2023-09-13T09:11:00Z</dcterms:created>
  <dc:creator>Administrator.PC-202308261524</dc:creator>
  <cp:lastModifiedBy>皓月星宇</cp:lastModifiedBy>
  <dcterms:modified xsi:type="dcterms:W3CDTF">2024-09-06T03:14:56Z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4584620818A2485F8CD98CDB1D4688D0_13</vt:lpwstr>
  </property>
</Properties>
</file>